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智能售卖机</w:t>
      </w:r>
      <w:r>
        <w:rPr>
          <w:rFonts w:hint="eastAsia" w:ascii="黑体" w:hAnsi="宋体" w:eastAsia="黑体" w:cs="黑体"/>
          <w:sz w:val="36"/>
          <w:szCs w:val="36"/>
          <w:lang w:eastAsia="zh-CN"/>
        </w:rPr>
        <w:t>》团体标准编制说明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7"/>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 xml:space="preserve"> 产业背景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随着线下门店人力成本上涨和租金上浮，以自动售卖机为首的无人零售模式成为新趋势，其发展引人关注。自动售卖机是自助售卖商品的机器，凭借不断的技术赋能，自动售卖机完成了向智能自动售卖机的升级，具备了品质、便利、精准、效率这四大特质，构造了一个智慧消费、移动商店的新场景。</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自动售卖机产业链上游是自动售卖机销售货物供应商，主要进行货源品类的提供，以快消品和标品为主；中游主要涉及到渠道和点位布局，其中包括自营和加盟两种模式，主要在市场中布设点位，为消费者提供货物或其他服务，也包括全机身、屏幕、货道等途径的服务广告，这是自动售卖机的另一大收入来源；下游主要是受众群体，以消费者和广告商为主。</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我国自动售卖机行业市场情况如下： </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1、保有量。在无人零售的业务模式中，自动售卖机在整体市场担当重要角色。在2021年，我国自动售卖机数量已达92.45万台，2016年至2021年复合年增长率约为30.3%。2022年保有量增长至116.89万台，市场主要受我国居民可支配收入增长及消费升级带动。</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2、市场规模。近年来，我国自动售卖机零售额呈现增长的趋势。据统计，2021年自动售卖机零售额271.24亿元，2016-2021年为25.3%，2022年增长至335.26亿元。</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3、区域分布。从我国自动售卖机城市分布来看，新一线城市所占的市场份额最高，约为32.3%，其次为三线及三线以下的城市，市场份额约为23.5%，一线城市、新一线城市及二线城市的总市场份额约为76.4%。一线城市、新一线城市及二线城市的优势为城市化比率较高、经济较发达及人均收入增长较快的各省会城市及直辖市主导。而新一线城市预计以自动售卖机数量计算的增长最快。</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4、场景分布。</w:t>
      </w:r>
      <w:r>
        <w:rPr>
          <w:rFonts w:hint="eastAsia" w:ascii="仿宋" w:hAnsi="仿宋" w:eastAsia="仿宋" w:cs="仿宋"/>
          <w:sz w:val="28"/>
          <w:szCs w:val="28"/>
          <w:lang w:eastAsia="zh-CN"/>
        </w:rPr>
        <w:t>自动售卖机市场一般依靠五大场景类型接触广泛的客户群。传统场地类型包括校园、工厂及办公场所，该等场所占市场的机器数量超过一半。另一方面，智能集装箱的不断渗透及相关技术创新，带动办公场所售卖机的占有规模快速增长。于2021年，工厂场地类型的市场份额最高，约为37.78%。</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截至2021年底，我国仅7.6%的潜在可用地点设有自动售卖机，为行业参与者提供了巨大的市场潜质。大量潜在销售点类别（如公共服务场所及餐厅）一直未获传统业内人士提供充足服务。进军该等场</w:t>
      </w:r>
      <w:bookmarkStart w:id="13" w:name="_GoBack"/>
      <w:bookmarkEnd w:id="13"/>
      <w:r>
        <w:rPr>
          <w:rFonts w:hint="eastAsia" w:ascii="仿宋" w:hAnsi="仿宋" w:eastAsia="仿宋" w:cs="仿宋"/>
          <w:sz w:val="28"/>
          <w:szCs w:val="28"/>
          <w:lang w:eastAsia="zh-CN"/>
        </w:rPr>
        <w:t>所将是我国自动售卖机零售行业的主要趋势。</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在全世界上看，美国和日本发展最快。2012-2019年自动</w:t>
      </w:r>
      <w:bookmarkStart w:id="0" w:name="OLE_LINK1"/>
      <w:r>
        <w:rPr>
          <w:rFonts w:hint="eastAsia" w:ascii="仿宋" w:hAnsi="仿宋" w:eastAsia="仿宋" w:cs="仿宋"/>
          <w:sz w:val="28"/>
          <w:szCs w:val="28"/>
          <w:lang w:eastAsia="zh-CN"/>
        </w:rPr>
        <w:t>售卖机</w:t>
      </w:r>
      <w:bookmarkEnd w:id="0"/>
      <w:r>
        <w:rPr>
          <w:rFonts w:hint="eastAsia" w:ascii="仿宋" w:hAnsi="仿宋" w:eastAsia="仿宋" w:cs="仿宋"/>
          <w:sz w:val="28"/>
          <w:szCs w:val="28"/>
          <w:lang w:eastAsia="zh-CN"/>
        </w:rPr>
        <w:t>市场保有量不断增加，增速总体上升变动。根据欧洲、美国和日本现阶段自动售卖机市场的总体情况，统计2019年全球自动售卖机保有量达到1890万台，较上年同比增加5%。</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2021年，美国、欧洲及日本分别拥有约730万台自动售卖机、460万台自动售卖机及250万自动售卖机。我国人口众多，故自动售卖机每千人拥有量远低于美国、欧洲及日本等主要发达国家及地区。2021年我国自动售卖机的每千人拥有量为0.7，而美国、欧洲及日本则分别为21.9、6.1及20.0。</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我国自动售卖机零售行业市场分散，参与者数较多，市场竞争激烈。2021年，按交易商品总额计算，我国自动售卖机零售行业前两大参与者的市场规模约为31亿元，占市场总份额的11.4%。其中，北京友宝在线科技股份有限公司为我国最大自动售卖机营运商，2021年，取得约21亿元的交易商品总额，占市场总份额的7.7%。</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自动售卖机发展前景良好，行业需更加规范。通过运用互联网、大数据、人工智能、物联网等技术手段，重塑商品生产、流通的生态圈，线上线下与供应链日趋融合。在人口密集度高的地方，例如：地铁、工厂、学校、酒店、写字楼、旅游景点等，自动售卖机可满足人们在饮料、零食、咖啡消费等方面的需求。在制造商、运营商、配套服务商的队伍日益壮大的同时，行业的规范管理、技术标准、技术创新等问题也凸显出来，行业需要自我规范，主管部门也应该给予这个发展中的行业更多支持和帮扶。自动售卖机可以连接线上线下，打造新消费方式和互动式体验。利用线上红利增加线下流量价值，增加消费者浸润式消费体验。</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在技术发展上，自动售卖机已向智能化和绿色环保化发展。自动</w:t>
      </w:r>
      <w:r>
        <w:rPr>
          <w:rFonts w:hint="eastAsia" w:ascii="仿宋" w:hAnsi="仿宋" w:eastAsia="仿宋" w:cs="仿宋"/>
          <w:sz w:val="28"/>
          <w:szCs w:val="28"/>
          <w:lang w:val="en-US" w:eastAsia="zh-CN"/>
        </w:rPr>
        <w:t xml:space="preserve"> 售卖机</w:t>
      </w:r>
      <w:r>
        <w:rPr>
          <w:rFonts w:hint="eastAsia" w:ascii="仿宋" w:hAnsi="仿宋" w:eastAsia="仿宋" w:cs="仿宋"/>
          <w:sz w:val="28"/>
          <w:szCs w:val="28"/>
          <w:lang w:eastAsia="zh-CN"/>
        </w:rPr>
        <w:t>利用5G网络和物联技术</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人工智能、大数据、云计算、区块链技术等技术的快速发展为智能售卖机提供强大的技术支持，推动售卖模式的创新，不断提升和优化用户体验感受，形成一项技术含量高和创造新增长点的现代服务业，推进国家及省的现代服务产业的发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2</w:t>
      </w:r>
      <w:r>
        <w:rPr>
          <w:rFonts w:hint="eastAsia" w:ascii="黑体" w:hAnsi="宋体" w:eastAsia="黑体" w:cs="黑体"/>
          <w:sz w:val="28"/>
          <w:szCs w:val="28"/>
          <w:lang w:eastAsia="zh-CN"/>
        </w:rPr>
        <w:t xml:space="preserve">  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通过打造佛山标准，树立优质区域品牌形象，有助于进一步做大做强产业。进一步提高</w:t>
      </w:r>
      <w:bookmarkStart w:id="1" w:name="OLE_LINK2"/>
      <w:r>
        <w:rPr>
          <w:rFonts w:hint="eastAsia" w:ascii="仿宋" w:hAnsi="仿宋" w:eastAsia="仿宋" w:cs="仿宋"/>
          <w:sz w:val="28"/>
          <w:szCs w:val="28"/>
          <w:lang w:eastAsia="zh-CN"/>
        </w:rPr>
        <w:t>自动售卖机</w:t>
      </w:r>
      <w:bookmarkEnd w:id="1"/>
      <w:r>
        <w:rPr>
          <w:rFonts w:hint="eastAsia" w:ascii="仿宋" w:hAnsi="仿宋" w:eastAsia="仿宋" w:cs="仿宋"/>
          <w:sz w:val="28"/>
          <w:szCs w:val="28"/>
          <w:lang w:eastAsia="zh-CN"/>
        </w:rPr>
        <w:t xml:space="preserve">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满足用户需求。随着产品品质的提高，用户不仅看重</w:t>
      </w:r>
      <w:bookmarkStart w:id="2" w:name="OLE_LINK3"/>
      <w:r>
        <w:rPr>
          <w:rFonts w:hint="eastAsia" w:ascii="仿宋" w:hAnsi="仿宋" w:eastAsia="仿宋" w:cs="仿宋"/>
          <w:sz w:val="28"/>
          <w:szCs w:val="28"/>
          <w:lang w:eastAsia="zh-CN"/>
        </w:rPr>
        <w:t>自动售卖机</w:t>
      </w:r>
      <w:bookmarkEnd w:id="2"/>
      <w:r>
        <w:rPr>
          <w:rFonts w:hint="eastAsia" w:ascii="仿宋" w:hAnsi="仿宋" w:eastAsia="仿宋" w:cs="仿宋"/>
          <w:sz w:val="28"/>
          <w:szCs w:val="28"/>
          <w:lang w:eastAsia="zh-CN"/>
        </w:rPr>
        <w:t>的基础功能，还更关注自动售卖机的质量稳定性、可靠性、安全性和体验性，本标准编制过程充分考虑了用户的需求及提出的意见和建议。</w:t>
      </w:r>
    </w:p>
    <w:p>
      <w:pPr>
        <w:rPr>
          <w:rFonts w:hint="eastAsia" w:ascii="仿宋" w:hAnsi="仿宋" w:eastAsia="仿宋" w:cs="仿宋"/>
          <w:sz w:val="28"/>
          <w:szCs w:val="28"/>
          <w:lang w:eastAsia="zh-CN"/>
        </w:rPr>
      </w:pPr>
      <w:r>
        <w:rPr>
          <w:rFonts w:hint="eastAsia" w:ascii="仿宋" w:hAnsi="仿宋" w:eastAsia="仿宋" w:cs="仿宋"/>
          <w:sz w:val="28"/>
          <w:szCs w:val="28"/>
          <w:lang w:eastAsia="zh-CN"/>
        </w:rPr>
        <w:t>符合政策要求。当前政策对于卫生安全、环保节能的要求不断提高，自动售卖机产品应注重卫生安全和环保性，符合政策导向和要求。本标准对自动售卖机产品的重复定位误差、温度恢复时、支付时间、交付时间、退款时间、销售预制菜温度、加热、智能化功能、卫生安全、能耗、有害物质限量、环境适应性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eastAsia="zh-CN"/>
        </w:rPr>
        <w:t>自动售卖机属于较为成熟且又具有高技术含量和技术创新发展的产品，市场竞争激烈。为保证佛山地区自动售卖机产品的竞争优势，更好地扩大影响力，抢占国内外市场份额，需要打造更高水平的标准，比现有国家、行业标准的要求更高，把中高端自动售卖机做好做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3</w:t>
      </w:r>
      <w:r>
        <w:rPr>
          <w:rFonts w:hint="eastAsia" w:ascii="黑体" w:hAnsi="宋体" w:eastAsia="黑体" w:cs="黑体"/>
          <w:sz w:val="28"/>
          <w:szCs w:val="28"/>
          <w:lang w:eastAsia="zh-CN"/>
        </w:rPr>
        <w:t xml:space="preserve">  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自动售卖机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3" w:name="_Hlk130890499"/>
      <w:bookmarkStart w:id="4" w:name="_Hlk130890723"/>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w:t>
      </w:r>
      <w:bookmarkStart w:id="5" w:name="OLE_LINK4"/>
      <w:r>
        <w:rPr>
          <w:rFonts w:hint="eastAsia" w:ascii="仿宋" w:hAnsi="仿宋" w:eastAsia="仿宋" w:cs="仿宋"/>
          <w:sz w:val="28"/>
          <w:szCs w:val="28"/>
          <w:lang w:eastAsia="zh-CN"/>
        </w:rPr>
        <w:t>广东便捷神科技股份有限公司</w:t>
      </w:r>
      <w:bookmarkEnd w:id="5"/>
      <w:r>
        <w:rPr>
          <w:rFonts w:hint="eastAsia" w:ascii="仿宋" w:hAnsi="仿宋" w:eastAsia="仿宋" w:cs="仿宋"/>
          <w:sz w:val="28"/>
          <w:szCs w:val="28"/>
          <w:lang w:eastAsia="zh-CN"/>
        </w:rPr>
        <w:t>、佛山市顺德区质量技术监督标准与编码所到访企业召开标准起草讨论会，成立了标准工作组。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广东便捷神科技股份有限公司、佛山市顺德区质量技术监督标准与编码所主要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12</w:t>
      </w:r>
      <w:r>
        <w:rPr>
          <w:rFonts w:hint="eastAsia" w:ascii="仿宋" w:hAnsi="仿宋" w:eastAsia="仿宋" w:cs="仿宋"/>
          <w:sz w:val="28"/>
          <w:szCs w:val="28"/>
          <w:lang w:eastAsia="zh-CN"/>
        </w:rPr>
        <w:t>月调研与前期准备阶段：完成行业调研和相关标准、用户痛点问题的收集整理，并组织到访广东便捷神科技股份有限公司；</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bookmarkStart w:id="6" w:name="OLE_LINK7"/>
      <w:r>
        <w:rPr>
          <w:rFonts w:hint="eastAsia" w:ascii="仿宋" w:hAnsi="仿宋" w:eastAsia="仿宋" w:cs="仿宋"/>
          <w:sz w:val="28"/>
          <w:szCs w:val="28"/>
          <w:lang w:eastAsia="zh-CN"/>
        </w:rPr>
        <w:t>～</w:t>
      </w:r>
      <w:bookmarkEnd w:id="6"/>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bookmarkStart w:id="7" w:name="OLE_LINK5"/>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bookmarkEnd w:id="7"/>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3"/>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月开始启动标准草案研制工作，结合前期准备工作成果，征求起草单位意见，充分考虑佛山标准的编制要求、编制理念和定位要求等，体现了标准的先进性。具体说明如下：</w:t>
      </w:r>
    </w:p>
    <w:p>
      <w:pPr>
        <w:widowControl/>
        <w:numPr>
          <w:ilvl w:val="0"/>
          <w:numId w:val="8"/>
        </w:numPr>
        <w:spacing w:line="360" w:lineRule="auto"/>
        <w:ind w:firstLine="560" w:firstLineChars="200"/>
        <w:jc w:val="both"/>
        <w:rPr>
          <w:rFonts w:ascii="仿宋" w:hAnsi="仿宋" w:eastAsia="仿宋" w:cs="仿宋"/>
          <w:sz w:val="28"/>
          <w:szCs w:val="28"/>
          <w:lang w:eastAsia="zh-CN"/>
        </w:rPr>
      </w:pPr>
      <w:bookmarkStart w:id="8" w:name="_Hlk130891623"/>
      <w:r>
        <w:rPr>
          <w:rFonts w:hint="eastAsia" w:ascii="仿宋" w:hAnsi="仿宋" w:eastAsia="仿宋" w:cs="仿宋"/>
          <w:sz w:val="28"/>
          <w:szCs w:val="28"/>
          <w:lang w:eastAsia="zh-CN"/>
        </w:rPr>
        <w:t>优化基础指标，提升关键指标</w:t>
      </w:r>
      <w:bookmarkEnd w:id="8"/>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结合相关标准及信息收集、分析、比对，主要在国家标准的基础上，对外壳防护等级噪声、卫生、等</w:t>
      </w:r>
      <w:r>
        <w:rPr>
          <w:rFonts w:hint="eastAsia" w:ascii="仿宋" w:hAnsi="仿宋" w:eastAsia="仿宋" w:cs="仿宋"/>
          <w:sz w:val="28"/>
          <w:szCs w:val="28"/>
          <w:lang w:eastAsia="zh-CN"/>
        </w:rPr>
        <w:t>指标进行提升，主要是为进一步保证产品稳定性、可靠性和节能性环保性和卫生安全性。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电源适应性、支付时间、交付时间、退款时间、门封气密性、销售预制菜温度、加热、智能化功能、电磁兼容、能效等级、有害物质限量、环境适应性等</w:t>
      </w:r>
      <w:r>
        <w:rPr>
          <w:rFonts w:hint="eastAsia" w:ascii="仿宋" w:hAnsi="仿宋" w:eastAsia="仿宋" w:cs="仿宋"/>
          <w:sz w:val="28"/>
          <w:szCs w:val="28"/>
          <w:lang w:eastAsia="zh-CN"/>
        </w:rPr>
        <w:t>指标，主要是为进一步体现产品的安全卫生性和绿色环保性。</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9"/>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w:t>
      </w:r>
      <w:r>
        <w:rPr>
          <w:rFonts w:hint="eastAsia" w:ascii="仿宋" w:hAnsi="仿宋" w:eastAsia="仿宋" w:cs="仿宋"/>
          <w:sz w:val="28"/>
          <w:szCs w:val="28"/>
          <w:lang w:eastAsia="zh-CN"/>
        </w:rPr>
        <w:t>重复定位误差、温度恢复时间、外壳防护等级、防夹手能力、噪声、电气安全、卫生、待机日耗电量等指标等</w:t>
      </w:r>
      <w:r>
        <w:rPr>
          <w:rFonts w:hint="eastAsia" w:ascii="仿宋" w:hAnsi="仿宋" w:eastAsia="仿宋" w:cs="仿宋"/>
          <w:sz w:val="28"/>
          <w:szCs w:val="28"/>
          <w:lang w:eastAsia="zh-CN"/>
        </w:rPr>
        <w:t>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针对标准草案中增加的电源适应性、支付时间、交付时间、退款时间、门封气密性、销售预制菜温度、加热、智能化功能、电磁兼容、能效等级、有害物质限量、环境适应性等</w:t>
      </w:r>
      <w:r>
        <w:rPr>
          <w:rFonts w:hint="eastAsia" w:ascii="仿宋" w:hAnsi="仿宋" w:eastAsia="仿宋" w:cs="仿宋"/>
          <w:sz w:val="28"/>
          <w:szCs w:val="28"/>
          <w:lang w:eastAsia="zh-CN"/>
        </w:rPr>
        <w:t>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标准研讨会议后，对标准进行了修改</w:t>
      </w:r>
      <w:r>
        <w:rPr>
          <w:rFonts w:hint="eastAsia" w:ascii="仿宋" w:hAnsi="仿宋" w:eastAsia="仿宋" w:cs="仿宋"/>
          <w:color w:val="FF0000"/>
          <w:sz w:val="28"/>
          <w:szCs w:val="28"/>
          <w:lang w:eastAsia="zh-CN"/>
        </w:rPr>
        <w:t>，并于</w:t>
      </w:r>
      <w:r>
        <w:rPr>
          <w:rFonts w:hint="eastAsia" w:ascii="仿宋" w:hAnsi="仿宋" w:eastAsia="仿宋" w:cs="仿宋"/>
          <w:color w:val="FF0000"/>
          <w:sz w:val="28"/>
          <w:szCs w:val="28"/>
          <w:lang w:val="en-US" w:eastAsia="zh-CN"/>
        </w:rPr>
        <w:t>2025年6月xx日开始</w:t>
      </w:r>
      <w:r>
        <w:rPr>
          <w:rFonts w:hint="eastAsia" w:ascii="仿宋" w:hAnsi="仿宋" w:eastAsia="仿宋" w:cs="仿宋"/>
          <w:sz w:val="28"/>
          <w:szCs w:val="28"/>
          <w:lang w:eastAsia="zh-CN"/>
        </w:rPr>
        <w:t>在佛山标准公共平台及团体标准公共服务平台进行公开征求意见。征求意见过程中未收到意见。</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color w:val="FF0000"/>
          <w:sz w:val="28"/>
          <w:szCs w:val="28"/>
          <w:lang w:eastAsia="zh-CN"/>
        </w:rPr>
        <w:t>于2</w:t>
      </w:r>
      <w:r>
        <w:rPr>
          <w:rFonts w:ascii="仿宋" w:hAnsi="仿宋" w:eastAsia="仿宋" w:cs="仿宋"/>
          <w:color w:val="FF0000"/>
          <w:sz w:val="28"/>
          <w:szCs w:val="28"/>
          <w:lang w:eastAsia="zh-CN"/>
        </w:rPr>
        <w:t>02</w:t>
      </w:r>
      <w:r>
        <w:rPr>
          <w:rFonts w:hint="eastAsia" w:ascii="仿宋" w:hAnsi="仿宋" w:eastAsia="仿宋" w:cs="仿宋"/>
          <w:color w:val="FF0000"/>
          <w:sz w:val="28"/>
          <w:szCs w:val="28"/>
          <w:lang w:val="en-US" w:eastAsia="zh-CN"/>
        </w:rPr>
        <w:t>5</w:t>
      </w:r>
      <w:r>
        <w:rPr>
          <w:rFonts w:hint="eastAsia" w:ascii="仿宋" w:hAnsi="仿宋" w:eastAsia="仿宋" w:cs="仿宋"/>
          <w:color w:val="FF0000"/>
          <w:sz w:val="28"/>
          <w:szCs w:val="28"/>
          <w:lang w:eastAsia="zh-CN"/>
        </w:rPr>
        <w:t>年</w:t>
      </w:r>
      <w:r>
        <w:rPr>
          <w:rFonts w:hint="eastAsia" w:ascii="仿宋" w:hAnsi="仿宋" w:eastAsia="仿宋" w:cs="仿宋"/>
          <w:color w:val="FF0000"/>
          <w:sz w:val="28"/>
          <w:szCs w:val="28"/>
          <w:lang w:val="en-US" w:eastAsia="zh-CN"/>
        </w:rPr>
        <w:t>7</w:t>
      </w:r>
      <w:r>
        <w:rPr>
          <w:rFonts w:hint="eastAsia" w:ascii="仿宋" w:hAnsi="仿宋" w:eastAsia="仿宋" w:cs="仿宋"/>
          <w:color w:val="FF0000"/>
          <w:sz w:val="28"/>
          <w:szCs w:val="28"/>
          <w:lang w:eastAsia="zh-CN"/>
        </w:rPr>
        <w:t>月</w:t>
      </w:r>
      <w:r>
        <w:rPr>
          <w:rFonts w:hint="eastAsia" w:ascii="仿宋" w:hAnsi="仿宋" w:eastAsia="仿宋" w:cs="仿宋"/>
          <w:color w:val="FF0000"/>
          <w:sz w:val="28"/>
          <w:szCs w:val="28"/>
          <w:lang w:val="en-US" w:eastAsia="zh-CN"/>
        </w:rPr>
        <w:t>xx</w:t>
      </w:r>
      <w:r>
        <w:rPr>
          <w:rFonts w:hint="eastAsia" w:ascii="仿宋" w:hAnsi="仿宋" w:eastAsia="仿宋" w:cs="仿宋"/>
          <w:color w:val="FF0000"/>
          <w:sz w:val="28"/>
          <w:szCs w:val="28"/>
          <w:lang w:eastAsia="zh-CN"/>
        </w:rPr>
        <w:t>日，</w:t>
      </w:r>
      <w:r>
        <w:rPr>
          <w:rFonts w:hint="eastAsia" w:ascii="仿宋" w:hAnsi="仿宋" w:eastAsia="仿宋" w:cs="仿宋"/>
          <w:sz w:val="28"/>
          <w:szCs w:val="28"/>
          <w:lang w:eastAsia="zh-CN"/>
        </w:rPr>
        <w:t>佛山市佛山标准与卓越绩效管理促进会组织专家召开了标准定会，专家组听取了编制组的汇报，审阅了相关资料，对标准文本进行了认真、细致和充分的讨论。最后，专家组认为该标准达到国内领先水平，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4"/>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191 包装储运图示标志</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2423.1 电工电子产品环境试验 第2部分：试验方法 试验A：低温</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2423.2 电工电子产品环境试验 第2部分：试验方法 试验B：高温</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2423.3 环境试验 第2部分：试验方法 试验Cab：恒定湿热试验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4208—2017 外壳防护等级（IP代码)</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4343.1 家用电器、电动工具和类似器具的电磁兼容要求  第l部分：发射</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4343.2 家用电器、电动工具和类似器具的电磁兼容要求 第2部分：抗扰度</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w:t>
      </w:r>
      <w:r>
        <w:rPr>
          <w:rFonts w:hint="eastAsia" w:ascii="仿宋" w:hAnsi="仿宋" w:eastAsia="仿宋" w:cs="仿宋"/>
          <w:sz w:val="24"/>
          <w:szCs w:val="24"/>
          <w:lang w:val="en-US" w:eastAsia="zh-CN"/>
        </w:rPr>
        <w:t>/T</w:t>
      </w:r>
      <w:r>
        <w:rPr>
          <w:rFonts w:hint="eastAsia" w:ascii="仿宋" w:hAnsi="仿宋" w:eastAsia="仿宋" w:cs="仿宋"/>
          <w:sz w:val="24"/>
          <w:szCs w:val="24"/>
          <w:lang w:eastAsia="zh-CN"/>
        </w:rPr>
        <w:t xml:space="preserve"> 4706.1 家用和类似用途电器的安全 第1部分：通用要求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w:t>
      </w:r>
      <w:r>
        <w:rPr>
          <w:rFonts w:hint="eastAsia" w:ascii="仿宋" w:hAnsi="仿宋" w:eastAsia="仿宋" w:cs="仿宋"/>
          <w:sz w:val="24"/>
          <w:szCs w:val="24"/>
          <w:lang w:val="en-US" w:eastAsia="zh-CN"/>
        </w:rPr>
        <w:t>/T</w:t>
      </w:r>
      <w:r>
        <w:rPr>
          <w:rFonts w:hint="eastAsia" w:ascii="仿宋" w:hAnsi="仿宋" w:eastAsia="仿宋" w:cs="仿宋"/>
          <w:sz w:val="24"/>
          <w:szCs w:val="24"/>
          <w:lang w:eastAsia="zh-CN"/>
        </w:rPr>
        <w:t xml:space="preserve"> 4706.72 家用和类似用途电器的安全 商用售卖机的特殊要求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6388 运输包装收发货标志</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6461—2002 金属基体上金属和其它无机覆盖层经腐蚀试验后的试样和试件的评级</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10125 人造气氛腐蚀试验盐雾试验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13306 标牌</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13384 机电产品包装通用技术条件</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16798</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食品机械安全卫生</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 17625.1 电磁兼容 限值 谐波电流发射限值(设备每相输入电流≤16A)</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19891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机械安全</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机械设计的卫生要求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21001.2—2015 制冷陈列柜 第2部分：分类、要求和试验条件</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26125 电子电气产品 六种限用物质（铅、汞、镉、六价铬、多溴联苯和多溴二苯醚）的测定</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GB/T 26572 电子电气产品中限用</w:t>
      </w:r>
      <w:r>
        <w:rPr>
          <w:rFonts w:ascii="仿宋" w:hAnsi="仿宋" w:eastAsia="仿宋" w:cs="仿宋"/>
          <w:sz w:val="24"/>
          <w:szCs w:val="24"/>
          <w:lang w:eastAsia="zh-CN"/>
        </w:rPr>
        <w:t>物质的限量要求</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 26920.3—2019 商用制冷器具能效限定值和能效等级 第3部分：制冷自动售货机</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GB/T 28493—2012 瓶装、罐装和其它封装饮料自动售货机性能试验方法</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r>
        <w:rPr>
          <w:rFonts w:hint="eastAsia" w:ascii="仿宋" w:hAnsi="仿宋" w:eastAsia="仿宋" w:cs="仿宋"/>
          <w:sz w:val="24"/>
          <w:szCs w:val="24"/>
          <w:lang w:eastAsia="zh-CN"/>
        </w:rPr>
        <w:t>QB/T 5366—2019 商用微波炉</w:t>
      </w:r>
    </w:p>
    <w:p>
      <w:pPr>
        <w:keepNext w:val="0"/>
        <w:keepLines w:val="0"/>
        <w:pageBreakBefore w:val="0"/>
        <w:widowControl/>
        <w:kinsoku/>
        <w:wordWrap/>
        <w:overflowPunct/>
        <w:topLinePunct w:val="0"/>
        <w:autoSpaceDE w:val="0"/>
        <w:autoSpaceDN w:val="0"/>
        <w:bidi w:val="0"/>
        <w:adjustRightInd/>
        <w:snapToGrid/>
        <w:spacing w:line="240" w:lineRule="auto"/>
        <w:ind w:firstLine="480" w:firstLineChars="200"/>
        <w:jc w:val="both"/>
        <w:textAlignment w:val="auto"/>
        <w:rPr>
          <w:rFonts w:ascii="仿宋" w:hAnsi="仿宋" w:eastAsia="仿宋" w:cs="仿宋"/>
          <w:sz w:val="24"/>
          <w:szCs w:val="24"/>
          <w:lang w:eastAsia="zh-CN"/>
        </w:rPr>
      </w:pPr>
      <w:bookmarkStart w:id="9" w:name="OLE_LINK6"/>
      <w:r>
        <w:rPr>
          <w:rFonts w:hint="eastAsia" w:ascii="仿宋" w:hAnsi="仿宋" w:eastAsia="仿宋" w:cs="仿宋"/>
          <w:sz w:val="24"/>
          <w:szCs w:val="24"/>
          <w:lang w:eastAsia="zh-CN"/>
        </w:rPr>
        <w:t>QB/T 5663—2021</w:t>
      </w:r>
      <w:bookmarkEnd w:id="9"/>
      <w:r>
        <w:rPr>
          <w:rFonts w:hint="eastAsia" w:ascii="仿宋" w:hAnsi="仿宋" w:eastAsia="仿宋" w:cs="仿宋"/>
          <w:sz w:val="24"/>
          <w:szCs w:val="24"/>
          <w:lang w:eastAsia="zh-CN"/>
        </w:rPr>
        <w:t xml:space="preserve"> 自动售卖机</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本文件规定了智能售卖机（以下简称售卖机）的基本参数和正常工作条件、要求、试验方法、检验规则、标志、使用信息、包装、运输和贮存。</w:t>
      </w:r>
    </w:p>
    <w:p>
      <w:pPr>
        <w:widowControl/>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本文件适用于智能售卖机的设计、制造、检验、使用等。</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本标准的基础性指标，包括了材料</w:t>
      </w:r>
      <w:r>
        <w:rPr>
          <w:rFonts w:hint="eastAsia" w:ascii="仿宋" w:hAnsi="仿宋" w:eastAsia="仿宋" w:cs="仿宋"/>
          <w:sz w:val="28"/>
          <w:szCs w:val="28"/>
          <w:lang w:val="en-US" w:eastAsia="zh-CN"/>
        </w:rPr>
        <w:t>和</w:t>
      </w:r>
      <w:r>
        <w:rPr>
          <w:rFonts w:hint="eastAsia" w:ascii="仿宋" w:hAnsi="仿宋" w:eastAsia="仿宋" w:cs="仿宋"/>
          <w:sz w:val="28"/>
          <w:szCs w:val="28"/>
          <w:lang w:eastAsia="zh-CN"/>
        </w:rPr>
        <w:t>制冷系统、结构、</w:t>
      </w:r>
      <w:r>
        <w:rPr>
          <w:rFonts w:hint="eastAsia" w:ascii="仿宋" w:hAnsi="仿宋" w:eastAsia="仿宋" w:cs="仿宋"/>
          <w:sz w:val="28"/>
          <w:szCs w:val="28"/>
          <w:lang w:val="zh-CN" w:eastAsia="zh-CN"/>
        </w:rPr>
        <w:t>外观、尺寸、一般性能</w:t>
      </w:r>
      <w:r>
        <w:rPr>
          <w:rFonts w:hint="eastAsia" w:ascii="仿宋" w:hAnsi="仿宋" w:eastAsia="仿宋" w:cs="仿宋"/>
          <w:sz w:val="28"/>
          <w:szCs w:val="28"/>
          <w:lang w:eastAsia="zh-CN"/>
        </w:rPr>
        <w:t>等</w:t>
      </w:r>
      <w:r>
        <w:rPr>
          <w:rFonts w:hint="eastAsia" w:ascii="仿宋" w:hAnsi="仿宋" w:eastAsia="仿宋" w:cs="仿宋"/>
          <w:sz w:val="28"/>
          <w:szCs w:val="28"/>
          <w:lang w:eastAsia="zh-CN"/>
        </w:rPr>
        <w:t>指标；关键性指标，包括了重复定位误差、温度恢复时间、外壳防护等级、防夹手能力、噪声、电气安全、卫生、待机日耗电量等指</w:t>
      </w:r>
      <w:r>
        <w:rPr>
          <w:rFonts w:hint="eastAsia" w:ascii="仿宋" w:hAnsi="仿宋" w:eastAsia="仿宋" w:cs="仿宋"/>
          <w:sz w:val="28"/>
          <w:szCs w:val="28"/>
          <w:lang w:eastAsia="zh-CN"/>
        </w:rPr>
        <w:t>标；新增指标电源适应性、支付时间、交付时间、退款时间、门封气密性、销售预制菜温度、加热、智能化功能、电磁兼容、能效等级、有害物质限量、环境适应性等</w:t>
      </w:r>
      <w:r>
        <w:rPr>
          <w:rFonts w:hint="eastAsia" w:ascii="仿宋" w:hAnsi="仿宋" w:eastAsia="仿宋" w:cs="仿宋"/>
          <w:sz w:val="28"/>
          <w:szCs w:val="28"/>
          <w:lang w:eastAsia="zh-CN"/>
        </w:rPr>
        <w:t>指标。</w:t>
      </w:r>
    </w:p>
    <w:p>
      <w:pPr>
        <w:autoSpaceDE/>
        <w:autoSpaceDN/>
        <w:spacing w:after="120" w:line="360" w:lineRule="auto"/>
        <w:ind w:firstLine="562" w:firstLineChars="20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标准指标比对表</w:t>
      </w:r>
    </w:p>
    <w:tbl>
      <w:tblPr>
        <w:tblStyle w:val="10"/>
        <w:tblW w:w="47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86"/>
        <w:gridCol w:w="960"/>
        <w:gridCol w:w="4065"/>
        <w:gridCol w:w="2580"/>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3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类型</w:t>
            </w: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指标项目</w:t>
            </w:r>
          </w:p>
        </w:tc>
        <w:tc>
          <w:tcPr>
            <w:tcW w:w="217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eastAsia="zh-CN"/>
              </w:rPr>
              <w:t>佛山</w:t>
            </w:r>
            <w:r>
              <w:rPr>
                <w:rFonts w:hint="eastAsia" w:ascii="宋体" w:hAnsi="宋体" w:eastAsia="宋体" w:cs="宋体"/>
                <w:spacing w:val="0"/>
                <w:sz w:val="18"/>
                <w:szCs w:val="18"/>
                <w:shd w:val="clear" w:color="auto" w:fill="auto"/>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T/FSS XX-202</w:t>
            </w:r>
            <w:r>
              <w:rPr>
                <w:rFonts w:hint="eastAsia" w:ascii="宋体" w:hAnsi="宋体" w:eastAsia="宋体" w:cs="宋体"/>
                <w:spacing w:val="0"/>
                <w:sz w:val="18"/>
                <w:szCs w:val="18"/>
                <w:shd w:val="clear" w:color="auto" w:fill="auto"/>
                <w:lang w:val="en-US" w:eastAsia="zh-CN"/>
              </w:rPr>
              <w:t>5</w:t>
            </w:r>
          </w:p>
        </w:tc>
        <w:tc>
          <w:tcPr>
            <w:tcW w:w="1381"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QB/T 5663—2021</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kern w:val="2"/>
                <w:sz w:val="18"/>
                <w:szCs w:val="18"/>
                <w:shd w:val="clear" w:color="auto" w:fill="auto"/>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z w:val="18"/>
                <w:szCs w:val="18"/>
                <w:lang w:eastAsia="zh-CN"/>
              </w:rPr>
              <w:t>材料</w:t>
            </w:r>
            <w:r>
              <w:rPr>
                <w:rFonts w:hint="eastAsia" w:ascii="宋体" w:hAnsi="宋体" w:eastAsia="宋体" w:cs="宋体"/>
                <w:sz w:val="18"/>
                <w:szCs w:val="18"/>
                <w:lang w:val="en-US" w:eastAsia="zh-CN"/>
              </w:rPr>
              <w:t>和</w:t>
            </w:r>
            <w:r>
              <w:rPr>
                <w:rFonts w:hint="eastAsia" w:ascii="宋体" w:hAnsi="宋体" w:eastAsia="宋体" w:cs="宋体"/>
                <w:sz w:val="18"/>
                <w:szCs w:val="18"/>
                <w:lang w:eastAsia="zh-CN"/>
              </w:rPr>
              <w:t>制冷系统</w:t>
            </w:r>
          </w:p>
        </w:tc>
        <w:tc>
          <w:tcPr>
            <w:tcW w:w="2176" w:type="pct"/>
            <w:shd w:val="clear" w:color="auto" w:fill="auto"/>
            <w:vAlign w:val="center"/>
          </w:tcPr>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5.2.1</w:t>
            </w:r>
            <w:r>
              <w:rPr>
                <w:rFonts w:hint="eastAsia" w:ascii="宋体" w:hAnsi="宋体" w:eastAsia="宋体" w:cs="宋体"/>
                <w:sz w:val="18"/>
                <w:szCs w:val="18"/>
              </w:rPr>
              <w:t>选用的材料、外购零部件应有生产厂的质量合格证明书。</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5.2.2</w:t>
            </w:r>
            <w:r>
              <w:rPr>
                <w:rFonts w:hint="eastAsia" w:ascii="宋体" w:hAnsi="宋体" w:eastAsia="宋体" w:cs="宋体"/>
                <w:sz w:val="18"/>
                <w:szCs w:val="18"/>
              </w:rPr>
              <w:t>与商品表面接触的材料应符合食品卫生相关标准要求。</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pacing w:val="0"/>
                <w:kern w:val="2"/>
                <w:sz w:val="18"/>
                <w:szCs w:val="18"/>
                <w:shd w:val="clear" w:color="auto" w:fill="auto"/>
                <w:lang w:val="en-US" w:eastAsia="zh-CN" w:bidi="ar-SA"/>
              </w:rPr>
            </w:pPr>
            <w:r>
              <w:rPr>
                <w:rFonts w:hint="eastAsia" w:ascii="宋体" w:hAnsi="宋体" w:eastAsia="宋体" w:cs="宋体"/>
                <w:sz w:val="18"/>
                <w:szCs w:val="18"/>
                <w:lang w:val="en-US" w:eastAsia="zh-CN"/>
              </w:rPr>
              <w:t>5.2.3</w:t>
            </w:r>
            <w:r>
              <w:rPr>
                <w:rFonts w:hint="eastAsia" w:ascii="宋体" w:hAnsi="宋体" w:eastAsia="宋体" w:cs="宋体"/>
                <w:sz w:val="18"/>
                <w:szCs w:val="18"/>
              </w:rPr>
              <w:t>不应采用玻璃纤维和矿渣棉作为绝热材料</w:t>
            </w:r>
            <w:r>
              <w:rPr>
                <w:rFonts w:hint="eastAsia" w:ascii="宋体" w:hAnsi="宋体" w:eastAsia="宋体" w:cs="宋体"/>
                <w:sz w:val="18"/>
                <w:szCs w:val="18"/>
                <w:lang w:eastAsia="zh-CN"/>
              </w:rPr>
              <w:t>，采</w:t>
            </w:r>
            <w:r>
              <w:rPr>
                <w:rFonts w:hint="eastAsia" w:ascii="宋体" w:hAnsi="宋体" w:eastAsia="宋体" w:cs="宋体"/>
                <w:sz w:val="18"/>
                <w:szCs w:val="18"/>
              </w:rPr>
              <w:t>用的绝热材料不应产生霉变或异味。</w:t>
            </w:r>
          </w:p>
        </w:tc>
        <w:tc>
          <w:tcPr>
            <w:tcW w:w="1381" w:type="pct"/>
            <w:vAlign w:val="center"/>
          </w:tcPr>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z w:val="18"/>
                <w:szCs w:val="18"/>
              </w:rPr>
              <w:t>QB/T 5663—2021</w:t>
            </w:r>
            <w:r>
              <w:rPr>
                <w:rFonts w:hint="eastAsia" w:ascii="宋体" w:hAnsi="宋体" w:eastAsia="宋体" w:cs="宋体"/>
                <w:sz w:val="18"/>
                <w:szCs w:val="18"/>
                <w:lang w:eastAsia="zh-CN"/>
              </w:rPr>
              <w:t>中</w:t>
            </w:r>
            <w:r>
              <w:rPr>
                <w:rFonts w:hint="eastAsia" w:ascii="宋体" w:hAnsi="宋体" w:eastAsia="宋体" w:cs="宋体"/>
                <w:sz w:val="18"/>
                <w:szCs w:val="18"/>
                <w:lang w:val="en-US" w:eastAsia="zh-CN"/>
              </w:rPr>
              <w:t>6.1.4、6.1.5、6.1.6的要求</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lang w:eastAsia="zh-CN"/>
              </w:rPr>
            </w:pPr>
          </w:p>
        </w:tc>
        <w:tc>
          <w:tcPr>
            <w:tcW w:w="2176" w:type="pct"/>
            <w:shd w:val="clear" w:color="auto" w:fill="auto"/>
            <w:vAlign w:val="center"/>
          </w:tcPr>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5.2.4</w:t>
            </w:r>
            <w:r>
              <w:rPr>
                <w:rFonts w:hint="eastAsia" w:ascii="宋体" w:hAnsi="宋体" w:eastAsia="宋体" w:cs="宋体"/>
                <w:sz w:val="18"/>
                <w:szCs w:val="18"/>
              </w:rPr>
              <w:t>制冷系统</w:t>
            </w:r>
            <w:r>
              <w:rPr>
                <w:rFonts w:hint="eastAsia" w:ascii="宋体" w:hAnsi="宋体" w:eastAsia="宋体" w:cs="宋体"/>
                <w:sz w:val="18"/>
                <w:szCs w:val="18"/>
                <w:lang w:eastAsia="zh-CN"/>
              </w:rPr>
              <w:t>应符合</w:t>
            </w:r>
            <w:r>
              <w:rPr>
                <w:rFonts w:hint="eastAsia" w:ascii="宋体" w:hAnsi="宋体" w:eastAsia="宋体" w:cs="宋体"/>
                <w:sz w:val="18"/>
                <w:szCs w:val="18"/>
              </w:rPr>
              <w:t>QB/T 5663—2021</w:t>
            </w:r>
            <w:r>
              <w:rPr>
                <w:rFonts w:hint="eastAsia" w:ascii="宋体" w:hAnsi="宋体" w:eastAsia="宋体" w:cs="宋体"/>
                <w:sz w:val="18"/>
                <w:szCs w:val="18"/>
                <w:lang w:eastAsia="zh-CN"/>
              </w:rPr>
              <w:t>中</w:t>
            </w:r>
            <w:r>
              <w:rPr>
                <w:rFonts w:hint="eastAsia" w:ascii="宋体" w:hAnsi="宋体" w:eastAsia="宋体" w:cs="宋体"/>
                <w:sz w:val="18"/>
                <w:szCs w:val="18"/>
                <w:lang w:val="en-US" w:eastAsia="zh-CN"/>
              </w:rPr>
              <w:t>6.4的要求</w:t>
            </w:r>
            <w:r>
              <w:rPr>
                <w:rFonts w:hint="eastAsia" w:ascii="宋体" w:hAnsi="宋体" w:eastAsia="宋体" w:cs="宋体"/>
                <w:sz w:val="18"/>
                <w:szCs w:val="18"/>
              </w:rPr>
              <w:t>。</w:t>
            </w:r>
          </w:p>
        </w:tc>
        <w:tc>
          <w:tcPr>
            <w:tcW w:w="1381" w:type="pct"/>
            <w:vAlign w:val="center"/>
          </w:tcPr>
          <w:p>
            <w:pPr>
              <w:keepNext w:val="0"/>
              <w:keepLines w:val="0"/>
              <w:pageBreakBefore w:val="0"/>
              <w:kinsoku/>
              <w:wordWrap/>
              <w:overflowPunct/>
              <w:topLinePunct w:val="0"/>
              <w:bidi w:val="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QB/T 5663—2021</w:t>
            </w:r>
            <w:r>
              <w:rPr>
                <w:rFonts w:hint="eastAsia" w:ascii="宋体" w:hAnsi="宋体" w:eastAsia="宋体" w:cs="宋体"/>
                <w:sz w:val="18"/>
                <w:szCs w:val="18"/>
                <w:lang w:eastAsia="zh-CN"/>
              </w:rPr>
              <w:t>中</w:t>
            </w:r>
            <w:r>
              <w:rPr>
                <w:rFonts w:hint="eastAsia" w:ascii="宋体" w:hAnsi="宋体" w:eastAsia="宋体" w:cs="宋体"/>
                <w:sz w:val="18"/>
                <w:szCs w:val="18"/>
                <w:lang w:val="en-US" w:eastAsia="zh-CN"/>
              </w:rPr>
              <w:t>6.4的要求</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eastAsia="宋体" w:cs="宋体"/>
                <w:sz w:val="18"/>
                <w:szCs w:val="18"/>
              </w:rPr>
              <w:t>结构</w:t>
            </w:r>
          </w:p>
        </w:tc>
        <w:tc>
          <w:tcPr>
            <w:tcW w:w="2176" w:type="pct"/>
            <w:shd w:val="clear" w:color="auto" w:fill="auto"/>
            <w:vAlign w:val="center"/>
          </w:tcPr>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highlight w:val="none"/>
                <w:lang w:val="en-US" w:eastAsia="zh-CN"/>
              </w:rPr>
              <w:t>5.2.2</w:t>
            </w:r>
            <w:r>
              <w:rPr>
                <w:rFonts w:hint="eastAsia" w:ascii="宋体" w:hAnsi="宋体" w:eastAsia="宋体" w:cs="宋体"/>
                <w:sz w:val="18"/>
                <w:szCs w:val="18"/>
                <w:highlight w:val="none"/>
              </w:rPr>
              <w:t>货道应有高度和宽度调整功能</w:t>
            </w:r>
            <w:r>
              <w:rPr>
                <w:rFonts w:hint="eastAsia" w:ascii="宋体" w:hAnsi="宋体" w:eastAsia="宋体" w:cs="宋体"/>
                <w:sz w:val="18"/>
                <w:szCs w:val="18"/>
              </w:rPr>
              <w:t>。</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5.2.3</w:t>
            </w:r>
            <w:r>
              <w:rPr>
                <w:rFonts w:hint="eastAsia" w:ascii="宋体" w:hAnsi="宋体" w:eastAsia="宋体" w:cs="宋体"/>
                <w:sz w:val="18"/>
                <w:szCs w:val="18"/>
              </w:rPr>
              <w:t>货道应有足够的强度和刚度，在满负载条件下应无变形。</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5.2.4</w:t>
            </w:r>
            <w:r>
              <w:rPr>
                <w:rFonts w:hint="eastAsia" w:ascii="宋体" w:hAnsi="宋体" w:eastAsia="宋体" w:cs="宋体"/>
                <w:sz w:val="18"/>
                <w:szCs w:val="18"/>
              </w:rPr>
              <w:t>货道托盘应具备自锁功能，应具有防止移位和脱落结构。</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5.2.5</w:t>
            </w:r>
            <w:r>
              <w:rPr>
                <w:rFonts w:hint="eastAsia" w:ascii="宋体" w:hAnsi="宋体" w:eastAsia="宋体" w:cs="宋体"/>
                <w:sz w:val="18"/>
                <w:szCs w:val="18"/>
              </w:rPr>
              <w:t>升降机构应有极限位置的保护装置。</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5.2.6</w:t>
            </w:r>
            <w:r>
              <w:rPr>
                <w:rFonts w:hint="eastAsia" w:ascii="宋体" w:hAnsi="宋体" w:eastAsia="宋体" w:cs="宋体"/>
                <w:sz w:val="18"/>
                <w:szCs w:val="18"/>
              </w:rPr>
              <w:t>应有防止预商品因掉落损坏的缓冲装置。</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5.2.7</w:t>
            </w:r>
            <w:r>
              <w:rPr>
                <w:rFonts w:hint="eastAsia" w:ascii="宋体" w:hAnsi="宋体" w:eastAsia="宋体" w:cs="宋体"/>
                <w:sz w:val="18"/>
                <w:szCs w:val="18"/>
              </w:rPr>
              <w:t>应配备防止玻璃表面及其部件冷表面产生凝露现象的自动除雾装置。</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5.2.8</w:t>
            </w:r>
            <w:r>
              <w:rPr>
                <w:rFonts w:hint="eastAsia" w:ascii="宋体" w:hAnsi="宋体" w:eastAsia="宋体" w:cs="宋体"/>
                <w:sz w:val="18"/>
                <w:szCs w:val="18"/>
              </w:rPr>
              <w:t>应具有货物防盗、外部防拆防护结构。</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5.2.9</w:t>
            </w:r>
            <w:r>
              <w:rPr>
                <w:rFonts w:hint="eastAsia" w:ascii="宋体" w:hAnsi="宋体" w:eastAsia="宋体" w:cs="宋体"/>
                <w:sz w:val="18"/>
                <w:szCs w:val="18"/>
              </w:rPr>
              <w:t>取货口的设计应防夹手。</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5.2.10</w:t>
            </w:r>
            <w:r>
              <w:rPr>
                <w:rFonts w:hint="eastAsia" w:ascii="宋体" w:hAnsi="宋体" w:eastAsia="宋体" w:cs="宋体"/>
                <w:sz w:val="18"/>
                <w:szCs w:val="18"/>
              </w:rPr>
              <w:t>应设置电源和温度指示。</w:t>
            </w:r>
          </w:p>
          <w:p>
            <w:pPr>
              <w:pStyle w:val="39"/>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5.2.11</w:t>
            </w:r>
            <w:r>
              <w:rPr>
                <w:rFonts w:hint="eastAsia" w:ascii="宋体" w:hAnsi="宋体" w:eastAsia="宋体" w:cs="宋体"/>
                <w:sz w:val="18"/>
                <w:szCs w:val="18"/>
              </w:rPr>
              <w:t>各零件、螺栓及螺母等紧固件应</w:t>
            </w:r>
            <w:r>
              <w:rPr>
                <w:rFonts w:hint="eastAsia" w:ascii="宋体" w:hAnsi="宋体" w:eastAsia="宋体" w:cs="宋体"/>
                <w:sz w:val="18"/>
                <w:szCs w:val="18"/>
                <w:lang w:eastAsia="zh-CN"/>
              </w:rPr>
              <w:t>设有</w:t>
            </w:r>
            <w:r>
              <w:rPr>
                <w:rFonts w:hint="eastAsia" w:ascii="宋体" w:hAnsi="宋体" w:eastAsia="宋体" w:cs="宋体"/>
                <w:sz w:val="18"/>
                <w:szCs w:val="18"/>
              </w:rPr>
              <w:t>可靠固定</w:t>
            </w:r>
            <w:r>
              <w:rPr>
                <w:rFonts w:hint="eastAsia" w:ascii="宋体" w:hAnsi="宋体" w:eastAsia="宋体" w:cs="宋体"/>
                <w:sz w:val="18"/>
                <w:szCs w:val="18"/>
                <w:lang w:eastAsia="zh-CN"/>
              </w:rPr>
              <w:t>、</w:t>
            </w:r>
            <w:r>
              <w:rPr>
                <w:rFonts w:hint="eastAsia" w:ascii="宋体" w:hAnsi="宋体" w:eastAsia="宋体" w:cs="宋体"/>
                <w:sz w:val="18"/>
                <w:szCs w:val="18"/>
              </w:rPr>
              <w:t>无松动</w:t>
            </w:r>
            <w:r>
              <w:rPr>
                <w:rFonts w:hint="eastAsia" w:ascii="宋体" w:hAnsi="宋体" w:eastAsia="宋体" w:cs="宋体"/>
                <w:sz w:val="18"/>
                <w:szCs w:val="18"/>
                <w:lang w:eastAsia="zh-CN"/>
              </w:rPr>
              <w:t>措施</w:t>
            </w:r>
            <w:r>
              <w:rPr>
                <w:rFonts w:hint="eastAsia" w:ascii="宋体" w:hAnsi="宋体" w:eastAsia="宋体" w:cs="宋体"/>
                <w:sz w:val="18"/>
                <w:szCs w:val="18"/>
              </w:rPr>
              <w:t>，不应因震动而脱落。</w:t>
            </w:r>
          </w:p>
        </w:tc>
        <w:tc>
          <w:tcPr>
            <w:tcW w:w="1381" w:type="pct"/>
            <w:vAlign w:val="center"/>
          </w:tcPr>
          <w:p>
            <w:pPr>
              <w:keepNext w:val="0"/>
              <w:keepLines w:val="0"/>
              <w:pageBreakBefore w:val="0"/>
              <w:widowControl w:val="0"/>
              <w:kinsoku/>
              <w:wordWrap/>
              <w:overflowPunct/>
              <w:topLinePunct w:val="0"/>
              <w:autoSpaceDE w:val="0"/>
              <w:autoSpaceDN w:val="0"/>
              <w:bidi w:val="0"/>
              <w:adjustRightInd/>
              <w:snapToGrid/>
              <w:jc w:val="both"/>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z w:val="18"/>
                <w:szCs w:val="18"/>
              </w:rPr>
              <w:t>QB/T 5663—2021</w:t>
            </w:r>
            <w:r>
              <w:rPr>
                <w:rFonts w:hint="eastAsia" w:ascii="宋体" w:hAnsi="宋体" w:eastAsia="宋体" w:cs="宋体"/>
                <w:sz w:val="18"/>
                <w:szCs w:val="18"/>
                <w:lang w:eastAsia="zh-CN"/>
              </w:rPr>
              <w:t>中</w:t>
            </w:r>
            <w:r>
              <w:rPr>
                <w:rFonts w:hint="eastAsia" w:ascii="宋体" w:hAnsi="宋体" w:eastAsia="宋体" w:cs="宋体"/>
                <w:sz w:val="18"/>
                <w:szCs w:val="18"/>
                <w:lang w:val="en-US" w:eastAsia="zh-CN"/>
              </w:rPr>
              <w:t>6.3.5、6.3.6、6.3.7、6.3.9、6.3.10、6.3.11及6.1.7、6.1.2的要求</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5.2.1</w:t>
            </w:r>
            <w:r>
              <w:rPr>
                <w:rFonts w:hint="eastAsia" w:ascii="宋体" w:hAnsi="宋体" w:eastAsia="宋体" w:cs="宋体"/>
                <w:sz w:val="18"/>
                <w:szCs w:val="18"/>
              </w:rPr>
              <w:t>柜体结构应符合GB/T 21001.2—2015中4.1的规定。</w:t>
            </w:r>
          </w:p>
        </w:tc>
        <w:tc>
          <w:tcPr>
            <w:tcW w:w="1381"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外观</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标准中</w:t>
            </w:r>
            <w:r>
              <w:rPr>
                <w:rFonts w:hint="eastAsia" w:ascii="宋体" w:hAnsi="宋体" w:eastAsia="宋体" w:cs="宋体"/>
                <w:spacing w:val="0"/>
                <w:sz w:val="18"/>
                <w:szCs w:val="18"/>
                <w:shd w:val="clear" w:color="auto" w:fill="auto"/>
                <w:lang w:val="en-US" w:eastAsia="zh-CN"/>
              </w:rPr>
              <w:t>5.3</w:t>
            </w:r>
          </w:p>
        </w:tc>
        <w:tc>
          <w:tcPr>
            <w:tcW w:w="1381"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QB/T 5663—2021</w:t>
            </w:r>
            <w:r>
              <w:rPr>
                <w:rFonts w:hint="eastAsia" w:ascii="宋体" w:hAnsi="宋体" w:eastAsia="宋体" w:cs="宋体"/>
                <w:sz w:val="18"/>
                <w:szCs w:val="18"/>
                <w:lang w:eastAsia="zh-CN"/>
              </w:rPr>
              <w:t>中</w:t>
            </w:r>
            <w:r>
              <w:rPr>
                <w:rFonts w:hint="eastAsia" w:ascii="宋体" w:hAnsi="宋体" w:eastAsia="宋体" w:cs="宋体"/>
                <w:sz w:val="18"/>
                <w:szCs w:val="18"/>
                <w:lang w:val="en-US" w:eastAsia="zh-CN"/>
              </w:rPr>
              <w:t>6.3.1、6.3.2、6.3.3、6.3.4的要求</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pacing w:val="0"/>
                <w:sz w:val="18"/>
                <w:szCs w:val="18"/>
                <w:shd w:val="clear" w:color="auto" w:fill="auto"/>
                <w:lang w:val="zh-CN"/>
              </w:rPr>
              <w:t>尺寸</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sz w:val="18"/>
                <w:szCs w:val="18"/>
              </w:rPr>
              <w:t>尺寸应符合图样要求，外</w:t>
            </w:r>
            <w:r>
              <w:rPr>
                <w:rFonts w:hint="eastAsia" w:ascii="宋体" w:hAnsi="宋体" w:eastAsia="宋体" w:cs="宋体"/>
                <w:sz w:val="18"/>
                <w:szCs w:val="18"/>
                <w:lang w:val="en-US" w:eastAsia="zh-CN"/>
              </w:rPr>
              <w:t>形</w:t>
            </w:r>
            <w:r>
              <w:rPr>
                <w:rFonts w:hint="eastAsia" w:ascii="宋体" w:hAnsi="宋体" w:eastAsia="宋体" w:cs="宋体"/>
                <w:sz w:val="18"/>
                <w:szCs w:val="18"/>
              </w:rPr>
              <w:t>尺寸允许偏差为士2%</w:t>
            </w:r>
          </w:p>
        </w:tc>
        <w:tc>
          <w:tcPr>
            <w:tcW w:w="1381"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c>
          <w:tcPr>
            <w:tcW w:w="514"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eastAsia="宋体" w:cs="宋体"/>
                <w:spacing w:val="0"/>
                <w:sz w:val="18"/>
                <w:szCs w:val="18"/>
                <w:shd w:val="clear" w:color="auto" w:fill="auto"/>
                <w:lang w:val="zh-CN" w:eastAsia="zh-CN" w:bidi="ar-SA"/>
              </w:rPr>
              <w:t>一般性能</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color w:val="auto"/>
                <w:spacing w:val="0"/>
                <w:sz w:val="18"/>
                <w:szCs w:val="18"/>
                <w:shd w:val="clear" w:color="auto" w:fill="auto"/>
                <w:lang w:val="en-US" w:eastAsia="zh-CN"/>
              </w:rPr>
            </w:pPr>
            <w:r>
              <w:rPr>
                <w:rFonts w:hint="eastAsia" w:ascii="宋体" w:hAnsi="宋体" w:eastAsia="宋体" w:cs="宋体"/>
                <w:color w:val="auto"/>
                <w:spacing w:val="0"/>
                <w:sz w:val="18"/>
                <w:szCs w:val="18"/>
                <w:shd w:val="clear" w:color="auto" w:fill="auto"/>
                <w:lang w:eastAsia="zh-CN"/>
              </w:rPr>
              <w:t>标准中</w:t>
            </w:r>
            <w:r>
              <w:rPr>
                <w:rFonts w:hint="eastAsia" w:ascii="宋体" w:hAnsi="宋体" w:eastAsia="宋体" w:cs="宋体"/>
                <w:color w:val="auto"/>
                <w:spacing w:val="0"/>
                <w:sz w:val="18"/>
                <w:szCs w:val="18"/>
                <w:shd w:val="clear" w:color="auto" w:fill="auto"/>
                <w:lang w:val="en-US" w:eastAsia="zh-CN"/>
              </w:rPr>
              <w:t>5.5.1</w:t>
            </w:r>
          </w:p>
        </w:tc>
        <w:tc>
          <w:tcPr>
            <w:tcW w:w="1381"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关键</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指标</w:t>
            </w: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z w:val="18"/>
                <w:szCs w:val="18"/>
                <w:lang w:eastAsia="zh-CN"/>
              </w:rPr>
              <w:t>重复定位误差</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z w:val="18"/>
                <w:szCs w:val="18"/>
                <w:lang w:val="en-US" w:eastAsia="zh-CN"/>
              </w:rPr>
              <w:t>5.5.2</w:t>
            </w:r>
            <w:r>
              <w:rPr>
                <w:rFonts w:hint="eastAsia" w:ascii="宋体" w:hAnsi="宋体" w:eastAsia="宋体" w:cs="宋体"/>
                <w:sz w:val="18"/>
                <w:szCs w:val="18"/>
              </w:rPr>
              <w:t>升降机构</w:t>
            </w:r>
            <w:r>
              <w:rPr>
                <w:rFonts w:hint="eastAsia" w:ascii="宋体" w:hAnsi="宋体" w:eastAsia="宋体" w:cs="宋体"/>
                <w:sz w:val="18"/>
                <w:szCs w:val="18"/>
                <w:lang w:eastAsia="zh-CN"/>
              </w:rPr>
              <w:t>的</w:t>
            </w:r>
            <w:r>
              <w:rPr>
                <w:rFonts w:hint="eastAsia" w:ascii="宋体" w:hAnsi="宋体" w:eastAsia="宋体" w:cs="宋体"/>
                <w:sz w:val="18"/>
                <w:szCs w:val="18"/>
              </w:rPr>
              <w:t>重复定位误差不应大于3 mm。</w:t>
            </w:r>
          </w:p>
        </w:tc>
        <w:tc>
          <w:tcPr>
            <w:tcW w:w="1381" w:type="pct"/>
            <w:vAlign w:val="center"/>
          </w:tcPr>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6.3.8 升降机构应运转正常平稳，重复定位误差不应大于3mm。应有极限位置的保护装置。</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温度恢复时间</w:t>
            </w:r>
          </w:p>
        </w:tc>
        <w:tc>
          <w:tcPr>
            <w:tcW w:w="2176" w:type="pct"/>
            <w:shd w:val="clear" w:color="auto" w:fill="auto"/>
            <w:vAlign w:val="center"/>
          </w:tcPr>
          <w:p>
            <w:pPr>
              <w:pStyle w:val="38"/>
              <w:keepNext w:val="0"/>
              <w:keepLines w:val="0"/>
              <w:pageBreakBefore w:val="0"/>
              <w:kinsoku/>
              <w:wordWrap/>
              <w:overflowPunct/>
              <w:topLinePunct w:val="0"/>
              <w:bidi w:val="0"/>
              <w:ind w:left="0" w:leftChars="0" w:firstLine="0" w:firstLine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在满负载状态下，温度恢复时间不应大于2 h。</w:t>
            </w:r>
          </w:p>
        </w:tc>
        <w:tc>
          <w:tcPr>
            <w:tcW w:w="1381" w:type="pct"/>
            <w:vAlign w:val="center"/>
          </w:tcPr>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eastAsia="zh-CN"/>
              </w:rPr>
              <w:t>6.2.2制冷型售卖机应有温度调节功能，在满负载状态下，其温度的恢复时间不应大于2h。</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外壳</w:t>
            </w:r>
            <w:r>
              <w:rPr>
                <w:rFonts w:hint="eastAsia" w:ascii="宋体" w:hAnsi="宋体" w:eastAsia="宋体" w:cs="宋体"/>
                <w:sz w:val="18"/>
                <w:szCs w:val="18"/>
              </w:rPr>
              <w:t>防护等级</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应不低于GB/T 4208—2017规定的</w:t>
            </w:r>
            <w:r>
              <w:rPr>
                <w:rFonts w:hint="eastAsia" w:ascii="宋体" w:hAnsi="宋体" w:eastAsia="宋体" w:cs="宋体"/>
                <w:sz w:val="18"/>
                <w:szCs w:val="18"/>
                <w:highlight w:val="none"/>
              </w:rPr>
              <w:t>IP54。</w:t>
            </w:r>
          </w:p>
        </w:tc>
        <w:tc>
          <w:tcPr>
            <w:tcW w:w="1381" w:type="pct"/>
            <w:vAlign w:val="center"/>
          </w:tcPr>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z w:val="18"/>
                <w:szCs w:val="18"/>
              </w:rPr>
              <w:t>GB</w:t>
            </w:r>
            <w:r>
              <w:rPr>
                <w:rFonts w:hint="eastAsia" w:ascii="宋体" w:hAnsi="宋体" w:eastAsia="宋体" w:cs="宋体"/>
                <w:sz w:val="18"/>
                <w:szCs w:val="18"/>
                <w:lang w:val="en-US" w:eastAsia="zh-CN"/>
              </w:rPr>
              <w:t>/T</w:t>
            </w:r>
            <w:r>
              <w:rPr>
                <w:rFonts w:hint="eastAsia" w:ascii="宋体" w:hAnsi="宋体" w:eastAsia="宋体" w:cs="宋体"/>
                <w:sz w:val="18"/>
                <w:szCs w:val="18"/>
              </w:rPr>
              <w:t xml:space="preserve"> 4706.72</w:t>
            </w:r>
            <w:r>
              <w:rPr>
                <w:rFonts w:hint="eastAsia" w:ascii="宋体" w:hAnsi="宋体" w:eastAsia="宋体" w:cs="宋体"/>
                <w:sz w:val="18"/>
                <w:szCs w:val="18"/>
                <w:lang w:eastAsia="zh-CN"/>
              </w:rPr>
              <w:t>中</w:t>
            </w:r>
            <w:r>
              <w:rPr>
                <w:rFonts w:hint="eastAsia" w:ascii="宋体" w:hAnsi="宋体" w:eastAsia="宋体" w:cs="宋体"/>
                <w:spacing w:val="0"/>
                <w:sz w:val="18"/>
                <w:szCs w:val="18"/>
                <w:shd w:val="clear" w:color="auto" w:fill="auto"/>
                <w:lang w:val="en-US" w:eastAsia="zh-CN"/>
              </w:rPr>
              <w:t>6.2</w:t>
            </w:r>
          </w:p>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该条增加下述内容:</w:t>
            </w:r>
          </w:p>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设计用于户外的器具至少应是IPX4型器具可能由喷水清洗或安装在有可能使用喷水的地方使用的器具至少应是IPX5</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防夹手能力</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5.7.2</w:t>
            </w:r>
            <w:r>
              <w:rPr>
                <w:rFonts w:hint="eastAsia" w:ascii="宋体" w:hAnsi="宋体" w:eastAsia="宋体" w:cs="宋体"/>
                <w:sz w:val="18"/>
                <w:szCs w:val="18"/>
                <w:lang w:eastAsia="zh-CN"/>
              </w:rPr>
              <w:t>取货口应设置有效的防夹手保护装置</w:t>
            </w:r>
          </w:p>
        </w:tc>
        <w:tc>
          <w:tcPr>
            <w:tcW w:w="1381" w:type="pct"/>
            <w:vAlign w:val="center"/>
          </w:tcPr>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6.5.2 售卖机取货口的设计应遵循人类工效学原则，取货方便安全防夹手。</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噪声</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5.7.3</w:t>
            </w:r>
            <w:r>
              <w:rPr>
                <w:rFonts w:hint="eastAsia" w:ascii="宋体" w:hAnsi="宋体" w:eastAsia="宋体" w:cs="宋体"/>
                <w:sz w:val="18"/>
                <w:szCs w:val="18"/>
              </w:rPr>
              <w:t>待机状态下</w:t>
            </w:r>
            <w:r>
              <w:rPr>
                <w:rFonts w:hint="eastAsia" w:ascii="宋体" w:hAnsi="宋体" w:eastAsia="宋体" w:cs="宋体"/>
                <w:sz w:val="18"/>
                <w:szCs w:val="18"/>
                <w:lang w:eastAsia="zh-CN"/>
              </w:rPr>
              <w:t>的</w:t>
            </w:r>
            <w:r>
              <w:rPr>
                <w:rFonts w:hint="eastAsia" w:ascii="宋体" w:hAnsi="宋体" w:eastAsia="宋体" w:cs="宋体"/>
                <w:sz w:val="18"/>
                <w:szCs w:val="18"/>
              </w:rPr>
              <w:t>噪声声压级不应大</w:t>
            </w:r>
            <w:r>
              <w:rPr>
                <w:rFonts w:hint="eastAsia" w:ascii="宋体" w:hAnsi="宋体" w:eastAsia="宋体" w:cs="宋体"/>
                <w:sz w:val="18"/>
                <w:szCs w:val="18"/>
                <w:highlight w:val="none"/>
              </w:rPr>
              <w:t>于</w:t>
            </w:r>
            <w:r>
              <w:rPr>
                <w:rFonts w:hint="eastAsia" w:ascii="宋体" w:hAnsi="宋体" w:eastAsia="宋体" w:cs="宋体"/>
                <w:sz w:val="18"/>
                <w:szCs w:val="18"/>
                <w:highlight w:val="none"/>
                <w:lang w:val="en-US" w:eastAsia="zh-CN"/>
              </w:rPr>
              <w:t>48</w:t>
            </w:r>
            <w:r>
              <w:rPr>
                <w:rFonts w:hint="eastAsia" w:ascii="宋体" w:hAnsi="宋体" w:eastAsia="宋体" w:cs="宋体"/>
                <w:sz w:val="18"/>
                <w:szCs w:val="18"/>
                <w:highlight w:val="none"/>
              </w:rPr>
              <w:t xml:space="preserve"> dB(A)</w:t>
            </w:r>
            <w:r>
              <w:rPr>
                <w:rFonts w:hint="eastAsia" w:ascii="宋体" w:hAnsi="宋体" w:eastAsia="宋体" w:cs="宋体"/>
                <w:sz w:val="18"/>
                <w:szCs w:val="18"/>
              </w:rPr>
              <w:t>。</w:t>
            </w:r>
          </w:p>
        </w:tc>
        <w:tc>
          <w:tcPr>
            <w:tcW w:w="1381" w:type="pct"/>
            <w:vAlign w:val="center"/>
          </w:tcPr>
          <w:p>
            <w:pPr>
              <w:keepNext w:val="0"/>
              <w:keepLines w:val="0"/>
              <w:pageBreakBefore w:val="0"/>
              <w:kinsoku/>
              <w:wordWrap/>
              <w:overflowPunct/>
              <w:topLinePunct w:val="0"/>
              <w:bidi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6.2.3</w:t>
            </w:r>
            <w:r>
              <w:rPr>
                <w:rFonts w:hint="eastAsia" w:ascii="宋体" w:hAnsi="宋体" w:eastAsia="宋体" w:cs="宋体"/>
                <w:spacing w:val="0"/>
                <w:sz w:val="18"/>
                <w:szCs w:val="18"/>
                <w:shd w:val="clear" w:color="auto" w:fill="auto"/>
                <w:lang w:eastAsia="zh-CN"/>
              </w:rPr>
              <w:t>售卖机待机状态下噪声声压级不应大于50 dB(A)。</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spacing w:val="0"/>
                <w:sz w:val="18"/>
                <w:szCs w:val="18"/>
                <w:shd w:val="clear" w:color="auto" w:fill="auto"/>
                <w:lang w:val="zh-CN" w:eastAsia="en-US" w:bidi="ar-SA"/>
              </w:rPr>
            </w:pPr>
            <w:r>
              <w:rPr>
                <w:rFonts w:hint="eastAsia" w:ascii="宋体" w:hAnsi="宋体" w:eastAsia="宋体" w:cs="宋体"/>
                <w:sz w:val="18"/>
                <w:szCs w:val="18"/>
                <w:lang w:eastAsia="zh-CN"/>
              </w:rPr>
              <w:t>电气</w:t>
            </w:r>
            <w:r>
              <w:rPr>
                <w:rFonts w:hint="eastAsia" w:ascii="宋体" w:hAnsi="宋体" w:eastAsia="宋体" w:cs="宋体"/>
                <w:sz w:val="18"/>
                <w:szCs w:val="18"/>
              </w:rPr>
              <w:t>安全</w:t>
            </w:r>
          </w:p>
        </w:tc>
        <w:tc>
          <w:tcPr>
            <w:tcW w:w="2176" w:type="pct"/>
            <w:shd w:val="clear" w:color="auto" w:fill="auto"/>
            <w:vAlign w:val="center"/>
          </w:tcPr>
          <w:p>
            <w:pPr>
              <w:keepNext w:val="0"/>
              <w:keepLines w:val="0"/>
              <w:pageBreakBefore w:val="0"/>
              <w:widowControl w:val="0"/>
              <w:tabs>
                <w:tab w:val="center" w:pos="4201"/>
                <w:tab w:val="right" w:leader="dot" w:pos="9298"/>
              </w:tabs>
              <w:kinsoku/>
              <w:wordWrap/>
              <w:overflowPunct/>
              <w:topLinePunct w:val="0"/>
              <w:bidi w:val="0"/>
              <w:adjustRightInd w:val="0"/>
              <w:snapToGrid w:val="0"/>
              <w:spacing w:line="240" w:lineRule="auto"/>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z w:val="18"/>
                <w:szCs w:val="18"/>
                <w:lang w:val="en-US" w:eastAsia="zh-CN"/>
              </w:rPr>
              <w:t>5.7.4</w:t>
            </w:r>
            <w:r>
              <w:rPr>
                <w:rFonts w:hint="eastAsia" w:ascii="宋体" w:hAnsi="宋体" w:eastAsia="宋体" w:cs="宋体"/>
                <w:sz w:val="18"/>
                <w:szCs w:val="18"/>
              </w:rPr>
              <w:t>应符合GB</w:t>
            </w:r>
            <w:r>
              <w:rPr>
                <w:rFonts w:hint="eastAsia" w:ascii="宋体" w:hAnsi="宋体" w:eastAsia="宋体" w:cs="宋体"/>
                <w:sz w:val="18"/>
                <w:szCs w:val="18"/>
                <w:lang w:val="en-US" w:eastAsia="zh-CN"/>
              </w:rPr>
              <w:t>/T</w:t>
            </w:r>
            <w:r>
              <w:rPr>
                <w:rFonts w:hint="eastAsia" w:ascii="宋体" w:hAnsi="宋体" w:eastAsia="宋体" w:cs="宋体"/>
                <w:sz w:val="18"/>
                <w:szCs w:val="18"/>
              </w:rPr>
              <w:t xml:space="preserve"> 4706.1、GB</w:t>
            </w:r>
            <w:r>
              <w:rPr>
                <w:rFonts w:hint="eastAsia" w:ascii="宋体" w:hAnsi="宋体" w:eastAsia="宋体" w:cs="宋体"/>
                <w:sz w:val="18"/>
                <w:szCs w:val="18"/>
                <w:lang w:val="en-US" w:eastAsia="zh-CN"/>
              </w:rPr>
              <w:t>/T</w:t>
            </w:r>
            <w:r>
              <w:rPr>
                <w:rFonts w:hint="eastAsia" w:ascii="宋体" w:hAnsi="宋体" w:eastAsia="宋体" w:cs="宋体"/>
                <w:sz w:val="18"/>
                <w:szCs w:val="18"/>
              </w:rPr>
              <w:t xml:space="preserve"> 4706.72的</w:t>
            </w:r>
            <w:r>
              <w:rPr>
                <w:rFonts w:hint="eastAsia" w:ascii="宋体" w:hAnsi="宋体" w:eastAsia="宋体" w:cs="宋体"/>
                <w:sz w:val="18"/>
                <w:szCs w:val="18"/>
                <w:lang w:eastAsia="zh-CN"/>
              </w:rPr>
              <w:t>要求</w:t>
            </w:r>
            <w:r>
              <w:rPr>
                <w:rFonts w:hint="eastAsia" w:ascii="宋体" w:hAnsi="宋体" w:eastAsia="宋体" w:cs="宋体"/>
                <w:sz w:val="18"/>
                <w:szCs w:val="18"/>
              </w:rPr>
              <w:t>。</w:t>
            </w:r>
          </w:p>
        </w:tc>
        <w:tc>
          <w:tcPr>
            <w:tcW w:w="1381"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en-US" w:eastAsia="zh-CN"/>
              </w:rPr>
              <w:t>6.5.1 应符合 GB 4706.1、GB 4706.72 的有关规定</w:t>
            </w:r>
          </w:p>
        </w:tc>
        <w:tc>
          <w:tcPr>
            <w:tcW w:w="613"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z w:val="18"/>
                <w:szCs w:val="18"/>
                <w:lang w:eastAsia="zh-CN"/>
              </w:rPr>
              <w:t>卫生</w:t>
            </w:r>
          </w:p>
        </w:tc>
        <w:tc>
          <w:tcPr>
            <w:tcW w:w="2176"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sz w:val="18"/>
                <w:szCs w:val="18"/>
                <w:lang w:val="en-US" w:eastAsia="zh-CN"/>
              </w:rPr>
              <w:t>5.7.5</w:t>
            </w:r>
            <w:r>
              <w:rPr>
                <w:rFonts w:hint="eastAsia" w:ascii="宋体" w:hAnsi="宋体" w:eastAsia="宋体" w:cs="宋体"/>
                <w:sz w:val="18"/>
                <w:szCs w:val="18"/>
                <w:lang w:eastAsia="zh-CN"/>
              </w:rPr>
              <w:t>应符合</w:t>
            </w:r>
            <w:r>
              <w:rPr>
                <w:rFonts w:hint="eastAsia" w:ascii="宋体" w:hAnsi="宋体" w:eastAsia="宋体" w:cs="宋体"/>
                <w:sz w:val="18"/>
                <w:szCs w:val="18"/>
              </w:rPr>
              <w:t>GB/T</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19891</w:t>
            </w:r>
            <w:r>
              <w:rPr>
                <w:rFonts w:hint="eastAsia" w:ascii="宋体" w:hAnsi="宋体" w:eastAsia="宋体" w:cs="宋体"/>
                <w:sz w:val="18"/>
                <w:szCs w:val="18"/>
                <w:lang w:eastAsia="zh-CN"/>
              </w:rPr>
              <w:t>和</w:t>
            </w:r>
            <w:r>
              <w:rPr>
                <w:rFonts w:hint="eastAsia" w:ascii="宋体" w:hAnsi="宋体" w:eastAsia="宋体" w:cs="宋体"/>
                <w:sz w:val="18"/>
                <w:szCs w:val="18"/>
              </w:rPr>
              <w:t>GB</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16798的</w:t>
            </w:r>
            <w:r>
              <w:rPr>
                <w:rFonts w:hint="eastAsia" w:ascii="宋体" w:hAnsi="宋体" w:eastAsia="宋体" w:cs="宋体"/>
                <w:sz w:val="18"/>
                <w:szCs w:val="18"/>
                <w:lang w:eastAsia="zh-CN"/>
              </w:rPr>
              <w:t>要求</w:t>
            </w:r>
          </w:p>
        </w:tc>
        <w:tc>
          <w:tcPr>
            <w:tcW w:w="1381"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6.1.5售卖机应用于食品时，与预包装商品表面接触的材料应符合食品卫生相关标</w:t>
            </w:r>
          </w:p>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准要求。</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51"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z w:val="18"/>
                <w:szCs w:val="18"/>
              </w:rPr>
              <w:t>待机日耗电量</w:t>
            </w:r>
          </w:p>
        </w:tc>
        <w:tc>
          <w:tcPr>
            <w:tcW w:w="2176" w:type="pct"/>
            <w:vAlign w:val="center"/>
          </w:tcPr>
          <w:p>
            <w:pPr>
              <w:keepNext w:val="0"/>
              <w:keepLines w:val="0"/>
              <w:pageBreakBefore w:val="0"/>
              <w:kinsoku/>
              <w:wordWrap/>
              <w:overflowPunct/>
              <w:topLinePunct w:val="0"/>
              <w:bidi w:val="0"/>
              <w:jc w:val="both"/>
              <w:textAlignment w:val="auto"/>
              <w:rPr>
                <w:rFonts w:hint="eastAsia" w:ascii="宋体" w:hAnsi="宋体" w:eastAsia="宋体" w:cs="宋体"/>
                <w:color w:val="auto"/>
                <w:spacing w:val="0"/>
                <w:sz w:val="18"/>
                <w:szCs w:val="18"/>
                <w:shd w:val="clear" w:color="auto" w:fill="auto"/>
                <w:lang w:val="zh-CN" w:eastAsia="zh-CN"/>
              </w:rPr>
            </w:pPr>
            <w:r>
              <w:rPr>
                <w:rFonts w:hint="eastAsia" w:ascii="宋体" w:hAnsi="宋体" w:eastAsia="宋体" w:cs="宋体"/>
                <w:sz w:val="18"/>
                <w:szCs w:val="18"/>
              </w:rPr>
              <w:t>不应大于额定值</w:t>
            </w:r>
          </w:p>
        </w:tc>
        <w:tc>
          <w:tcPr>
            <w:tcW w:w="1381" w:type="pct"/>
            <w:vAlign w:val="center"/>
          </w:tcPr>
          <w:p>
            <w:pPr>
              <w:keepNext w:val="0"/>
              <w:keepLines w:val="0"/>
              <w:pageBreakBefore w:val="0"/>
              <w:kinsoku/>
              <w:wordWrap/>
              <w:overflowPunct/>
              <w:topLinePunct w:val="0"/>
              <w:bidi w:val="0"/>
              <w:adjustRightInd w:val="0"/>
              <w:snapToGrid w:val="0"/>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6.2.1售卖机在待机状态下的日耗电量不应大于额定值。</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创新</w:t>
            </w:r>
          </w:p>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r>
              <w:rPr>
                <w:rFonts w:hint="eastAsia" w:ascii="宋体" w:hAnsi="宋体" w:eastAsia="宋体" w:cs="宋体"/>
                <w:spacing w:val="0"/>
                <w:sz w:val="18"/>
                <w:szCs w:val="18"/>
                <w:shd w:val="clear" w:color="auto" w:fill="auto"/>
                <w:lang w:val="zh-CN" w:eastAsia="zh-CN"/>
              </w:rPr>
              <w:t>指标</w:t>
            </w:r>
          </w:p>
        </w:tc>
        <w:tc>
          <w:tcPr>
            <w:tcW w:w="514" w:type="pct"/>
            <w:shd w:val="clear" w:color="auto" w:fill="auto"/>
            <w:vAlign w:val="center"/>
          </w:tcPr>
          <w:p>
            <w:pPr>
              <w:pStyle w:val="40"/>
              <w:keepNext w:val="0"/>
              <w:keepLines w:val="0"/>
              <w:pageBreakBefore w:val="0"/>
              <w:numPr>
                <w:ilvl w:val="2"/>
                <w:numId w:val="0"/>
              </w:numPr>
              <w:kinsoku/>
              <w:wordWrap/>
              <w:overflowPunct/>
              <w:topLinePunct w:val="0"/>
              <w:bidi w:val="0"/>
              <w:spacing w:beforeLines="0" w:afterLines="0"/>
              <w:ind w:leftChars="0"/>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lang w:eastAsia="zh-CN"/>
              </w:rPr>
              <w:t>电源适应性</w:t>
            </w:r>
          </w:p>
        </w:tc>
        <w:tc>
          <w:tcPr>
            <w:tcW w:w="2176" w:type="pct"/>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lang w:val="en-US" w:eastAsia="zh-CN"/>
              </w:rPr>
              <w:t>5.5.4</w:t>
            </w:r>
            <w:r>
              <w:rPr>
                <w:rFonts w:hint="eastAsia" w:ascii="宋体" w:hAnsi="宋体" w:eastAsia="宋体" w:cs="宋体"/>
                <w:sz w:val="18"/>
                <w:szCs w:val="18"/>
                <w:lang w:eastAsia="zh-CN"/>
              </w:rPr>
              <w:t>在</w:t>
            </w:r>
            <w:r>
              <w:rPr>
                <w:rFonts w:hint="eastAsia" w:ascii="宋体" w:hAnsi="宋体" w:eastAsia="宋体" w:cs="宋体"/>
                <w:sz w:val="18"/>
                <w:szCs w:val="18"/>
              </w:rPr>
              <w:t>0</w:t>
            </w:r>
            <w:r>
              <w:rPr>
                <w:rFonts w:hint="eastAsia" w:ascii="宋体" w:hAnsi="宋体" w:eastAsia="宋体" w:cs="宋体"/>
                <w:sz w:val="18"/>
                <w:szCs w:val="18"/>
                <w:lang w:val="en-US" w:eastAsia="zh-CN"/>
              </w:rPr>
              <w:t>.</w:t>
            </w:r>
            <w:r>
              <w:rPr>
                <w:rFonts w:hint="eastAsia" w:ascii="宋体" w:hAnsi="宋体" w:eastAsia="宋体" w:cs="宋体"/>
                <w:sz w:val="18"/>
                <w:szCs w:val="18"/>
              </w:rPr>
              <w:t>9倍和1.1倍额定电</w:t>
            </w:r>
            <w:r>
              <w:rPr>
                <w:rFonts w:hint="eastAsia" w:ascii="宋体" w:hAnsi="宋体" w:eastAsia="宋体" w:cs="宋体"/>
                <w:sz w:val="18"/>
                <w:szCs w:val="18"/>
                <w:lang w:eastAsia="zh-CN"/>
              </w:rPr>
              <w:t>压下应能正常完成下单、支付</w:t>
            </w:r>
            <w:r>
              <w:rPr>
                <w:rFonts w:hint="eastAsia" w:ascii="宋体" w:hAnsi="宋体" w:eastAsia="宋体" w:cs="宋体"/>
                <w:sz w:val="18"/>
                <w:szCs w:val="18"/>
              </w:rPr>
              <w:t>、</w:t>
            </w:r>
            <w:r>
              <w:rPr>
                <w:rFonts w:hint="eastAsia" w:ascii="宋体" w:hAnsi="宋体" w:eastAsia="宋体" w:cs="宋体"/>
                <w:sz w:val="18"/>
                <w:szCs w:val="18"/>
                <w:lang w:eastAsia="zh-CN"/>
              </w:rPr>
              <w:t>商品</w:t>
            </w:r>
            <w:r>
              <w:rPr>
                <w:rFonts w:hint="eastAsia" w:ascii="宋体" w:hAnsi="宋体" w:eastAsia="宋体" w:cs="宋体"/>
                <w:sz w:val="18"/>
                <w:szCs w:val="18"/>
              </w:rPr>
              <w:t>输出</w:t>
            </w:r>
            <w:r>
              <w:rPr>
                <w:rFonts w:hint="eastAsia" w:ascii="宋体" w:hAnsi="宋体" w:eastAsia="宋体" w:cs="宋体"/>
                <w:sz w:val="18"/>
                <w:szCs w:val="18"/>
                <w:lang w:eastAsia="zh-CN"/>
              </w:rPr>
              <w:t>、信息反馈等功能</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pStyle w:val="40"/>
              <w:keepNext w:val="0"/>
              <w:keepLines w:val="0"/>
              <w:pageBreakBefore w:val="0"/>
              <w:numPr>
                <w:ilvl w:val="2"/>
                <w:numId w:val="0"/>
              </w:numPr>
              <w:kinsoku/>
              <w:wordWrap/>
              <w:overflowPunct/>
              <w:topLinePunct w:val="0"/>
              <w:bidi w:val="0"/>
              <w:spacing w:beforeLines="0" w:afterLines="0"/>
              <w:ind w:leftChars="0"/>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lang w:eastAsia="zh-CN"/>
              </w:rPr>
              <w:t>支付时间</w:t>
            </w:r>
          </w:p>
        </w:tc>
        <w:tc>
          <w:tcPr>
            <w:tcW w:w="2176" w:type="pct"/>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spacing w:val="0"/>
                <w:sz w:val="18"/>
                <w:szCs w:val="18"/>
                <w:shd w:val="clear" w:color="auto" w:fill="auto"/>
                <w:lang w:eastAsia="zh-CN"/>
              </w:rPr>
            </w:pPr>
            <w:r>
              <w:rPr>
                <w:rFonts w:hint="eastAsia" w:ascii="宋体" w:hAnsi="宋体" w:eastAsia="宋体" w:cs="宋体"/>
                <w:sz w:val="18"/>
                <w:szCs w:val="18"/>
                <w:lang w:val="en-US" w:eastAsia="zh-CN"/>
              </w:rPr>
              <w:t>5.5.5</w:t>
            </w:r>
            <w:r>
              <w:rPr>
                <w:rFonts w:hint="eastAsia" w:ascii="宋体" w:hAnsi="宋体" w:eastAsia="宋体" w:cs="宋体"/>
                <w:sz w:val="18"/>
                <w:szCs w:val="18"/>
                <w:lang w:eastAsia="zh-CN"/>
              </w:rPr>
              <w:t>从发起支付到支付完成的非现金支付时间不应超过</w:t>
            </w:r>
            <w:r>
              <w:rPr>
                <w:rFonts w:hint="eastAsia" w:ascii="宋体" w:hAnsi="宋体" w:eastAsia="宋体" w:cs="宋体"/>
                <w:sz w:val="18"/>
                <w:szCs w:val="18"/>
                <w:lang w:val="en-US" w:eastAsia="zh-CN"/>
              </w:rPr>
              <w:t>5 s。</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z w:val="18"/>
                <w:szCs w:val="18"/>
                <w:lang w:eastAsia="zh-CN"/>
              </w:rPr>
              <w:t>交付时间</w:t>
            </w:r>
          </w:p>
        </w:tc>
        <w:tc>
          <w:tcPr>
            <w:tcW w:w="2176" w:type="pct"/>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sz w:val="18"/>
                <w:szCs w:val="18"/>
              </w:rPr>
            </w:pPr>
            <w:r>
              <w:rPr>
                <w:rFonts w:hint="eastAsia" w:ascii="宋体" w:hAnsi="宋体" w:eastAsia="宋体" w:cs="宋体"/>
                <w:sz w:val="18"/>
                <w:szCs w:val="18"/>
                <w:lang w:val="en-US" w:eastAsia="zh-CN"/>
              </w:rPr>
              <w:t>5.5.6</w:t>
            </w:r>
            <w:r>
              <w:rPr>
                <w:rFonts w:hint="eastAsia" w:ascii="宋体" w:hAnsi="宋体" w:eastAsia="宋体" w:cs="宋体"/>
                <w:sz w:val="18"/>
                <w:szCs w:val="18"/>
                <w:lang w:eastAsia="zh-CN"/>
              </w:rPr>
              <w:t>带有销售预制菜功能的售卖机，</w:t>
            </w:r>
            <w:r>
              <w:rPr>
                <w:rFonts w:hint="eastAsia" w:ascii="宋体" w:hAnsi="宋体" w:eastAsia="宋体" w:cs="宋体"/>
                <w:sz w:val="18"/>
                <w:szCs w:val="18"/>
              </w:rPr>
              <w:t>完成交付预制菜的时间不应大于</w:t>
            </w:r>
            <w:r>
              <w:rPr>
                <w:rFonts w:hint="eastAsia" w:ascii="宋体" w:hAnsi="宋体" w:eastAsia="宋体" w:cs="宋体"/>
                <w:sz w:val="18"/>
                <w:szCs w:val="18"/>
                <w:lang w:val="en-US" w:eastAsia="zh-CN"/>
              </w:rPr>
              <w:t>60 s</w:t>
            </w:r>
            <w:r>
              <w:rPr>
                <w:rFonts w:hint="eastAsia" w:ascii="宋体" w:hAnsi="宋体" w:eastAsia="宋体" w:cs="宋体"/>
                <w:sz w:val="18"/>
                <w:szCs w:val="18"/>
                <w:lang w:eastAsia="zh-CN"/>
              </w:rPr>
              <w:t>，不包括食物加热等处理时间；其他售卖机完成交付商品的时间不应大于</w:t>
            </w:r>
            <w:r>
              <w:rPr>
                <w:rFonts w:hint="eastAsia" w:ascii="宋体" w:hAnsi="宋体" w:eastAsia="宋体" w:cs="宋体"/>
                <w:sz w:val="18"/>
                <w:szCs w:val="18"/>
                <w:lang w:val="en-US" w:eastAsia="zh-CN"/>
              </w:rPr>
              <w:t>30 s</w:t>
            </w:r>
            <w:r>
              <w:rPr>
                <w:rFonts w:hint="eastAsia" w:ascii="宋体" w:hAnsi="宋体" w:eastAsia="宋体" w:cs="宋体"/>
                <w:sz w:val="18"/>
                <w:szCs w:val="18"/>
              </w:rPr>
              <w:t>。</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bidi="ar-SA"/>
              </w:rPr>
            </w:pPr>
            <w:r>
              <w:rPr>
                <w:rFonts w:hint="eastAsia" w:ascii="宋体" w:hAnsi="宋体" w:eastAsia="宋体" w:cs="宋体"/>
                <w:sz w:val="18"/>
                <w:szCs w:val="18"/>
                <w:lang w:eastAsia="zh-CN"/>
              </w:rPr>
              <w:t>退款时间</w:t>
            </w:r>
          </w:p>
        </w:tc>
        <w:tc>
          <w:tcPr>
            <w:tcW w:w="2176" w:type="pct"/>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z w:val="18"/>
                <w:szCs w:val="18"/>
                <w:lang w:val="en-US" w:eastAsia="zh-CN"/>
              </w:rPr>
              <w:t>5.5.7在出货失败等交易不成功时</w:t>
            </w:r>
            <w:r>
              <w:rPr>
                <w:rFonts w:hint="eastAsia" w:ascii="宋体" w:hAnsi="宋体" w:eastAsia="宋体" w:cs="宋体"/>
                <w:sz w:val="18"/>
                <w:szCs w:val="18"/>
                <w:lang w:eastAsia="zh-CN"/>
              </w:rPr>
              <w:t>，从发起退款到退款完成的时间不应超过6</w:t>
            </w:r>
            <w:r>
              <w:rPr>
                <w:rFonts w:hint="eastAsia" w:ascii="宋体" w:hAnsi="宋体" w:eastAsia="宋体" w:cs="宋体"/>
                <w:sz w:val="18"/>
                <w:szCs w:val="18"/>
                <w:lang w:val="en-US" w:eastAsia="zh-CN"/>
              </w:rPr>
              <w:t>0 s。</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bidi="ar-SA"/>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rPr>
            </w:pPr>
            <w:r>
              <w:rPr>
                <w:rFonts w:hint="eastAsia" w:ascii="宋体" w:hAnsi="宋体" w:eastAsia="宋体" w:cs="宋体"/>
                <w:sz w:val="18"/>
                <w:szCs w:val="18"/>
              </w:rPr>
              <w:t>门封气密性</w:t>
            </w:r>
          </w:p>
        </w:tc>
        <w:tc>
          <w:tcPr>
            <w:tcW w:w="2176" w:type="pct"/>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z w:val="18"/>
                <w:szCs w:val="18"/>
                <w:lang w:val="en-US" w:eastAsia="zh-CN"/>
              </w:rPr>
              <w:t>5.5.8</w:t>
            </w:r>
            <w:r>
              <w:rPr>
                <w:rFonts w:hint="eastAsia" w:ascii="宋体" w:hAnsi="宋体" w:eastAsia="宋体" w:cs="宋体"/>
                <w:sz w:val="18"/>
                <w:szCs w:val="18"/>
              </w:rPr>
              <w:t>箱门关闭后不应有外部空气进入售卖机内，当内外温差大于10</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℃时，箱门外边缘的温度与环境温度之差的绝对值应不大于2</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rPr>
            </w:pPr>
            <w:r>
              <w:rPr>
                <w:rFonts w:hint="eastAsia" w:ascii="宋体" w:hAnsi="宋体" w:eastAsia="宋体" w:cs="宋体"/>
                <w:sz w:val="18"/>
                <w:szCs w:val="18"/>
              </w:rPr>
              <w:t>销售</w:t>
            </w:r>
            <w:r>
              <w:rPr>
                <w:rFonts w:hint="eastAsia" w:ascii="宋体" w:hAnsi="宋体" w:eastAsia="宋体" w:cs="宋体"/>
                <w:sz w:val="18"/>
                <w:szCs w:val="18"/>
                <w:lang w:eastAsia="zh-CN"/>
              </w:rPr>
              <w:t>预制菜</w:t>
            </w:r>
            <w:r>
              <w:rPr>
                <w:rFonts w:hint="eastAsia" w:ascii="宋体" w:hAnsi="宋体" w:eastAsia="宋体" w:cs="宋体"/>
                <w:sz w:val="18"/>
                <w:szCs w:val="18"/>
              </w:rPr>
              <w:t>温度</w:t>
            </w:r>
          </w:p>
        </w:tc>
        <w:tc>
          <w:tcPr>
            <w:tcW w:w="2176" w:type="pct"/>
            <w:vAlign w:val="center"/>
          </w:tcPr>
          <w:p>
            <w:pPr>
              <w:pStyle w:val="38"/>
              <w:keepNext w:val="0"/>
              <w:keepLines w:val="0"/>
              <w:pageBreakBefore w:val="0"/>
              <w:kinsoku/>
              <w:wordWrap/>
              <w:overflowPunct/>
              <w:topLinePunct w:val="0"/>
              <w:bidi w:val="0"/>
              <w:ind w:left="0" w:leftChars="0" w:firstLine="0" w:firstLineChars="0"/>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5.5.9</w:t>
            </w:r>
            <w:r>
              <w:rPr>
                <w:rFonts w:hint="eastAsia" w:ascii="宋体" w:hAnsi="宋体" w:eastAsia="宋体" w:cs="宋体"/>
                <w:sz w:val="18"/>
                <w:szCs w:val="18"/>
                <w:lang w:eastAsia="zh-CN"/>
              </w:rPr>
              <w:t>带有销售预制菜功能的售卖机，</w:t>
            </w:r>
            <w:r>
              <w:rPr>
                <w:rFonts w:hint="eastAsia" w:ascii="宋体" w:hAnsi="宋体" w:eastAsia="宋体" w:cs="宋体"/>
                <w:sz w:val="18"/>
                <w:szCs w:val="18"/>
              </w:rPr>
              <w:t>销售</w:t>
            </w:r>
            <w:r>
              <w:rPr>
                <w:rFonts w:hint="eastAsia" w:ascii="宋体" w:hAnsi="宋体" w:eastAsia="宋体" w:cs="宋体"/>
                <w:sz w:val="18"/>
                <w:szCs w:val="18"/>
                <w:lang w:eastAsia="zh-CN"/>
              </w:rPr>
              <w:t>预制菜时</w:t>
            </w:r>
            <w:r>
              <w:rPr>
                <w:rFonts w:hint="eastAsia" w:ascii="宋体" w:hAnsi="宋体" w:eastAsia="宋体" w:cs="宋体"/>
                <w:sz w:val="18"/>
                <w:szCs w:val="18"/>
              </w:rPr>
              <w:t>的温度应</w:t>
            </w:r>
            <w:r>
              <w:rPr>
                <w:rFonts w:hint="eastAsia" w:ascii="宋体" w:hAnsi="宋体" w:eastAsia="宋体" w:cs="宋体"/>
                <w:sz w:val="18"/>
                <w:szCs w:val="18"/>
                <w:lang w:eastAsia="zh-CN"/>
              </w:rPr>
              <w:t>符合下列</w:t>
            </w:r>
            <w:r>
              <w:rPr>
                <w:rFonts w:hint="eastAsia" w:ascii="宋体" w:hAnsi="宋体" w:eastAsia="宋体" w:cs="宋体"/>
                <w:sz w:val="18"/>
                <w:szCs w:val="18"/>
              </w:rPr>
              <w:t>要求</w:t>
            </w:r>
            <w:r>
              <w:rPr>
                <w:rFonts w:hint="eastAsia" w:ascii="宋体" w:hAnsi="宋体" w:eastAsia="宋体" w:cs="宋体"/>
                <w:sz w:val="18"/>
                <w:szCs w:val="18"/>
                <w:lang w:eastAsia="zh-CN"/>
              </w:rPr>
              <w:t>：</w:t>
            </w:r>
          </w:p>
          <w:p>
            <w:pPr>
              <w:pStyle w:val="22"/>
              <w:keepNext w:val="0"/>
              <w:keepLines w:val="0"/>
              <w:pageBreakBefore w:val="0"/>
              <w:numPr>
                <w:numId w:val="0"/>
              </w:numPr>
              <w:kinsoku/>
              <w:wordWrap/>
              <w:overflowPunct/>
              <w:topLinePunct w:val="0"/>
              <w:bidi w:val="0"/>
              <w:ind w:firstLine="360" w:firstLineChars="200"/>
              <w:jc w:val="lef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a)</w:t>
            </w:r>
            <w:r>
              <w:rPr>
                <w:rFonts w:hint="eastAsia" w:ascii="宋体" w:hAnsi="宋体" w:eastAsia="宋体" w:cs="宋体"/>
                <w:sz w:val="18"/>
                <w:szCs w:val="18"/>
              </w:rPr>
              <w:t>冷食</w:t>
            </w:r>
            <w:r>
              <w:rPr>
                <w:rFonts w:hint="eastAsia" w:ascii="宋体" w:hAnsi="宋体" w:eastAsia="宋体" w:cs="宋体"/>
                <w:sz w:val="18"/>
                <w:szCs w:val="18"/>
                <w:lang w:eastAsia="zh-CN"/>
              </w:rPr>
              <w:t>预制菜</w:t>
            </w:r>
            <w:r>
              <w:rPr>
                <w:rFonts w:hint="eastAsia" w:ascii="宋体" w:hAnsi="宋体" w:eastAsia="宋体" w:cs="宋体"/>
                <w:sz w:val="18"/>
                <w:szCs w:val="18"/>
              </w:rPr>
              <w:t>温度应</w:t>
            </w:r>
            <w:r>
              <w:rPr>
                <w:rFonts w:hint="eastAsia" w:ascii="宋体" w:hAnsi="宋体" w:eastAsia="宋体" w:cs="宋体"/>
                <w:sz w:val="18"/>
                <w:szCs w:val="18"/>
                <w:lang w:eastAsia="zh-CN"/>
              </w:rPr>
              <w:t>为</w:t>
            </w:r>
            <w:r>
              <w:rPr>
                <w:rFonts w:hint="eastAsia" w:ascii="宋体" w:hAnsi="宋体" w:eastAsia="宋体" w:cs="宋体"/>
                <w:sz w:val="18"/>
                <w:szCs w:val="18"/>
              </w:rPr>
              <w:t>2</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℃～8</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w:t>
            </w:r>
            <w:r>
              <w:rPr>
                <w:rFonts w:hint="eastAsia" w:ascii="宋体" w:hAnsi="宋体" w:eastAsia="宋体" w:cs="宋体"/>
                <w:sz w:val="18"/>
                <w:szCs w:val="18"/>
                <w:lang w:eastAsia="zh-CN"/>
              </w:rPr>
              <w:t>；</w:t>
            </w:r>
          </w:p>
          <w:p>
            <w:pPr>
              <w:pStyle w:val="22"/>
              <w:keepNext w:val="0"/>
              <w:keepLines w:val="0"/>
              <w:pageBreakBefore w:val="0"/>
              <w:numPr>
                <w:numId w:val="0"/>
              </w:numPr>
              <w:kinsoku/>
              <w:wordWrap/>
              <w:overflowPunct/>
              <w:topLinePunct w:val="0"/>
              <w:bidi w:val="0"/>
              <w:ind w:firstLine="360" w:firstLineChars="200"/>
              <w:jc w:val="left"/>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b)</w:t>
            </w:r>
            <w:r>
              <w:rPr>
                <w:rFonts w:hint="eastAsia" w:ascii="宋体" w:hAnsi="宋体" w:eastAsia="宋体" w:cs="宋体"/>
                <w:sz w:val="18"/>
                <w:szCs w:val="18"/>
                <w:highlight w:val="none"/>
              </w:rPr>
              <w:t>热食</w:t>
            </w:r>
            <w:r>
              <w:rPr>
                <w:rFonts w:hint="eastAsia" w:ascii="宋体" w:hAnsi="宋体" w:eastAsia="宋体" w:cs="宋体"/>
                <w:sz w:val="18"/>
                <w:szCs w:val="18"/>
                <w:highlight w:val="none"/>
                <w:lang w:eastAsia="zh-CN"/>
              </w:rPr>
              <w:t>预制菜</w:t>
            </w:r>
            <w:r>
              <w:rPr>
                <w:rFonts w:hint="eastAsia" w:ascii="宋体" w:hAnsi="宋体" w:eastAsia="宋体" w:cs="宋体"/>
                <w:sz w:val="18"/>
                <w:szCs w:val="18"/>
                <w:highlight w:val="none"/>
              </w:rPr>
              <w:t>温度应</w:t>
            </w:r>
            <w:r>
              <w:rPr>
                <w:rFonts w:hint="eastAsia" w:ascii="宋体" w:hAnsi="宋体" w:eastAsia="宋体" w:cs="宋体"/>
                <w:sz w:val="18"/>
                <w:szCs w:val="18"/>
                <w:highlight w:val="none"/>
                <w:lang w:eastAsia="zh-CN"/>
              </w:rPr>
              <w:t>为</w:t>
            </w:r>
            <w:r>
              <w:rPr>
                <w:rFonts w:hint="eastAsia" w:ascii="宋体" w:hAnsi="宋体" w:eastAsia="宋体" w:cs="宋体"/>
                <w:sz w:val="18"/>
                <w:szCs w:val="18"/>
                <w:highlight w:val="none"/>
                <w:lang w:val="en-US" w:eastAsia="zh-CN"/>
              </w:rPr>
              <w:t xml:space="preserve">50 </w:t>
            </w:r>
            <w:r>
              <w:rPr>
                <w:rFonts w:hint="eastAsia" w:ascii="宋体" w:hAnsi="宋体" w:eastAsia="宋体" w:cs="宋体"/>
                <w:sz w:val="18"/>
                <w:szCs w:val="18"/>
                <w:highlight w:val="none"/>
              </w:rPr>
              <w:t>℃～8</w:t>
            </w:r>
            <w:r>
              <w:rPr>
                <w:rFonts w:hint="eastAsia" w:ascii="宋体" w:hAnsi="宋体" w:eastAsia="宋体" w:cs="宋体"/>
                <w:sz w:val="18"/>
                <w:szCs w:val="18"/>
                <w:highlight w:val="none"/>
                <w:lang w:val="en-US" w:eastAsia="zh-CN"/>
              </w:rPr>
              <w:t xml:space="preserve">5 </w:t>
            </w:r>
            <w:r>
              <w:rPr>
                <w:rFonts w:hint="eastAsia" w:ascii="宋体" w:hAnsi="宋体" w:eastAsia="宋体" w:cs="宋体"/>
                <w:sz w:val="18"/>
                <w:szCs w:val="18"/>
                <w:highlight w:val="none"/>
              </w:rPr>
              <w:t>℃</w:t>
            </w:r>
            <w:r>
              <w:rPr>
                <w:rFonts w:hint="eastAsia" w:ascii="宋体" w:hAnsi="宋体" w:eastAsia="宋体" w:cs="宋体"/>
                <w:sz w:val="18"/>
                <w:szCs w:val="18"/>
                <w:highlight w:val="none"/>
                <w:lang w:eastAsia="zh-CN"/>
              </w:rPr>
              <w:t>。</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rPr>
            </w:pPr>
            <w:r>
              <w:rPr>
                <w:rFonts w:hint="eastAsia" w:ascii="宋体" w:hAnsi="宋体" w:eastAsia="宋体" w:cs="宋体"/>
                <w:sz w:val="18"/>
                <w:szCs w:val="18"/>
              </w:rPr>
              <w:t>加热</w:t>
            </w:r>
          </w:p>
        </w:tc>
        <w:tc>
          <w:tcPr>
            <w:tcW w:w="2176" w:type="pct"/>
            <w:vAlign w:val="center"/>
          </w:tcPr>
          <w:p>
            <w:pPr>
              <w:pStyle w:val="22"/>
              <w:keepNext w:val="0"/>
              <w:keepLines w:val="0"/>
              <w:pageBreakBefore w:val="0"/>
              <w:numPr>
                <w:numId w:val="0"/>
              </w:numPr>
              <w:kinsoku/>
              <w:wordWrap/>
              <w:overflowPunct/>
              <w:topLinePunct w:val="0"/>
              <w:bidi w:val="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5.5.10</w:t>
            </w:r>
            <w:r>
              <w:rPr>
                <w:rFonts w:hint="eastAsia" w:ascii="宋体" w:hAnsi="宋体" w:eastAsia="宋体" w:cs="宋体"/>
                <w:sz w:val="18"/>
                <w:szCs w:val="18"/>
              </w:rPr>
              <w:t>带有微波加热功能的售卖机，加热时间应可调节，</w:t>
            </w:r>
            <w:r>
              <w:rPr>
                <w:rFonts w:hint="eastAsia" w:ascii="宋体" w:hAnsi="宋体" w:eastAsia="宋体" w:cs="宋体"/>
                <w:sz w:val="18"/>
                <w:szCs w:val="18"/>
                <w:lang w:eastAsia="zh-CN"/>
              </w:rPr>
              <w:t>加热</w:t>
            </w:r>
            <w:r>
              <w:rPr>
                <w:rFonts w:hint="eastAsia" w:ascii="宋体" w:hAnsi="宋体" w:eastAsia="宋体" w:cs="宋体"/>
                <w:sz w:val="18"/>
                <w:szCs w:val="18"/>
              </w:rPr>
              <w:t>性能应符合QB/T 5366—2019中5.9的</w:t>
            </w:r>
            <w:r>
              <w:rPr>
                <w:rFonts w:hint="eastAsia" w:ascii="宋体" w:hAnsi="宋体" w:eastAsia="宋体" w:cs="宋体"/>
                <w:sz w:val="18"/>
                <w:szCs w:val="18"/>
                <w:lang w:eastAsia="zh-CN"/>
              </w:rPr>
              <w:t>要求</w:t>
            </w:r>
            <w:r>
              <w:rPr>
                <w:rFonts w:hint="eastAsia" w:ascii="宋体" w:hAnsi="宋体" w:eastAsia="宋体" w:cs="宋体"/>
                <w:sz w:val="18"/>
                <w:szCs w:val="18"/>
              </w:rPr>
              <w:t>。</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rPr>
            </w:pPr>
            <w:r>
              <w:rPr>
                <w:rFonts w:hint="eastAsia" w:ascii="宋体" w:hAnsi="宋体" w:eastAsia="宋体" w:cs="宋体"/>
                <w:sz w:val="18"/>
                <w:szCs w:val="18"/>
                <w:lang w:eastAsia="zh-CN"/>
              </w:rPr>
              <w:t>智能化</w:t>
            </w:r>
            <w:r>
              <w:rPr>
                <w:rFonts w:hint="eastAsia" w:ascii="宋体" w:hAnsi="宋体" w:eastAsia="宋体" w:cs="宋体"/>
                <w:sz w:val="18"/>
                <w:szCs w:val="18"/>
              </w:rPr>
              <w:t>功能</w:t>
            </w:r>
          </w:p>
        </w:tc>
        <w:tc>
          <w:tcPr>
            <w:tcW w:w="2176" w:type="pct"/>
            <w:vAlign w:val="center"/>
          </w:tcPr>
          <w:p>
            <w:pPr>
              <w:pStyle w:val="40"/>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5.6.1</w:t>
            </w:r>
            <w:r>
              <w:rPr>
                <w:rFonts w:hint="eastAsia" w:ascii="宋体" w:hAnsi="宋体" w:eastAsia="宋体" w:cs="宋体"/>
                <w:sz w:val="18"/>
                <w:szCs w:val="18"/>
              </w:rPr>
              <w:t>视频播放</w:t>
            </w:r>
          </w:p>
          <w:p>
            <w:pPr>
              <w:pStyle w:val="38"/>
              <w:keepNext w:val="0"/>
              <w:keepLines w:val="0"/>
              <w:pageBreakBefore w:val="0"/>
              <w:kinsoku/>
              <w:wordWrap/>
              <w:overflowPunct/>
              <w:topLinePunct w:val="0"/>
              <w:bidi w:val="0"/>
              <w:ind w:left="0" w:leftChars="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应</w:t>
            </w:r>
            <w:r>
              <w:rPr>
                <w:rFonts w:hint="eastAsia" w:ascii="宋体" w:hAnsi="宋体" w:eastAsia="宋体" w:cs="宋体"/>
                <w:sz w:val="18"/>
                <w:szCs w:val="18"/>
                <w:lang w:eastAsia="zh-CN"/>
              </w:rPr>
              <w:t>能</w:t>
            </w:r>
            <w:r>
              <w:rPr>
                <w:rFonts w:hint="eastAsia" w:ascii="宋体" w:hAnsi="宋体" w:eastAsia="宋体" w:cs="宋体"/>
                <w:sz w:val="18"/>
                <w:szCs w:val="18"/>
              </w:rPr>
              <w:t>通过有线网络、</w:t>
            </w:r>
            <w:r>
              <w:rPr>
                <w:rFonts w:hint="eastAsia" w:ascii="宋体" w:hAnsi="宋体" w:eastAsia="宋体" w:cs="宋体"/>
                <w:sz w:val="18"/>
                <w:szCs w:val="18"/>
                <w:lang w:val="en-US" w:eastAsia="zh-CN"/>
              </w:rPr>
              <w:t>WIFI</w:t>
            </w:r>
            <w:r>
              <w:rPr>
                <w:rFonts w:hint="eastAsia" w:ascii="宋体" w:hAnsi="宋体" w:eastAsia="宋体" w:cs="宋体"/>
                <w:sz w:val="18"/>
                <w:szCs w:val="18"/>
              </w:rPr>
              <w:t>、移动网络等播放、更新、发布多媒体视频。</w:t>
            </w:r>
          </w:p>
          <w:p>
            <w:pPr>
              <w:pStyle w:val="40"/>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5.6.2</w:t>
            </w:r>
            <w:r>
              <w:rPr>
                <w:rFonts w:hint="eastAsia" w:ascii="宋体" w:hAnsi="宋体" w:eastAsia="宋体" w:cs="宋体"/>
                <w:sz w:val="18"/>
                <w:szCs w:val="18"/>
              </w:rPr>
              <w:t>远程控制</w:t>
            </w:r>
          </w:p>
          <w:p>
            <w:pPr>
              <w:pStyle w:val="38"/>
              <w:keepNext w:val="0"/>
              <w:keepLines w:val="0"/>
              <w:pageBreakBefore w:val="0"/>
              <w:kinsoku/>
              <w:wordWrap/>
              <w:overflowPunct/>
              <w:topLinePunct w:val="0"/>
              <w:bidi w:val="0"/>
              <w:ind w:left="0" w:leftChars="0" w:firstLine="0" w:firstLineChars="0"/>
              <w:textAlignment w:val="auto"/>
              <w:rPr>
                <w:rFonts w:hint="eastAsia" w:ascii="宋体" w:hAnsi="宋体" w:eastAsia="宋体" w:cs="宋体"/>
                <w:sz w:val="18"/>
                <w:szCs w:val="18"/>
              </w:rPr>
            </w:pPr>
            <w:r>
              <w:rPr>
                <w:rFonts w:hint="eastAsia" w:ascii="宋体" w:hAnsi="宋体" w:eastAsia="宋体" w:cs="宋体"/>
                <w:sz w:val="18"/>
                <w:szCs w:val="18"/>
                <w:highlight w:val="none"/>
              </w:rPr>
              <w:t>应具备远程</w:t>
            </w:r>
            <w:r>
              <w:rPr>
                <w:rFonts w:hint="eastAsia" w:ascii="宋体" w:hAnsi="宋体" w:eastAsia="宋体" w:cs="宋体"/>
                <w:sz w:val="18"/>
                <w:szCs w:val="18"/>
                <w:highlight w:val="none"/>
                <w:lang w:eastAsia="zh-CN"/>
              </w:rPr>
              <w:t>诊断、</w:t>
            </w:r>
            <w:r>
              <w:rPr>
                <w:rFonts w:hint="eastAsia" w:ascii="宋体" w:hAnsi="宋体" w:eastAsia="宋体" w:cs="宋体"/>
                <w:sz w:val="18"/>
                <w:szCs w:val="18"/>
              </w:rPr>
              <w:t>控温、复位、视频切换</w:t>
            </w:r>
            <w:r>
              <w:rPr>
                <w:rFonts w:hint="eastAsia" w:ascii="宋体" w:hAnsi="宋体" w:eastAsia="宋体" w:cs="宋体"/>
                <w:sz w:val="18"/>
                <w:szCs w:val="18"/>
                <w:lang w:eastAsia="zh-CN"/>
              </w:rPr>
              <w:t>、照明和设备及售卖状态监控</w:t>
            </w:r>
            <w:r>
              <w:rPr>
                <w:rFonts w:hint="eastAsia" w:ascii="宋体" w:hAnsi="宋体" w:eastAsia="宋体" w:cs="宋体"/>
                <w:sz w:val="18"/>
                <w:szCs w:val="18"/>
              </w:rPr>
              <w:t>等功能。</w:t>
            </w:r>
          </w:p>
          <w:p>
            <w:pPr>
              <w:pStyle w:val="40"/>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5.6.3</w:t>
            </w:r>
            <w:r>
              <w:rPr>
                <w:rFonts w:hint="eastAsia" w:ascii="宋体" w:hAnsi="宋体" w:eastAsia="宋体" w:cs="宋体"/>
                <w:sz w:val="18"/>
                <w:szCs w:val="18"/>
                <w:lang w:eastAsia="zh-CN"/>
              </w:rPr>
              <w:t>数据和信息管理</w:t>
            </w:r>
          </w:p>
          <w:p>
            <w:pPr>
              <w:pStyle w:val="41"/>
              <w:keepNext w:val="0"/>
              <w:keepLines w:val="0"/>
              <w:pageBreakBefore w:val="0"/>
              <w:widowControl/>
              <w:numPr>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5.6.3.1</w:t>
            </w:r>
            <w:r>
              <w:rPr>
                <w:rFonts w:hint="eastAsia" w:ascii="宋体" w:hAnsi="宋体" w:eastAsia="宋体" w:cs="宋体"/>
                <w:sz w:val="18"/>
                <w:szCs w:val="18"/>
              </w:rPr>
              <w:t>应具备</w:t>
            </w:r>
            <w:r>
              <w:rPr>
                <w:rFonts w:hint="eastAsia" w:ascii="宋体" w:hAnsi="宋体" w:eastAsia="宋体" w:cs="宋体"/>
                <w:sz w:val="18"/>
                <w:szCs w:val="18"/>
                <w:lang w:eastAsia="zh-CN"/>
              </w:rPr>
              <w:t>数据存储、数据上传、</w:t>
            </w:r>
            <w:r>
              <w:rPr>
                <w:rFonts w:hint="eastAsia" w:ascii="宋体" w:hAnsi="宋体" w:eastAsia="宋体" w:cs="宋体"/>
                <w:sz w:val="18"/>
                <w:szCs w:val="18"/>
              </w:rPr>
              <w:t>数据查询、数据统计、数据核算、故障信息收集等功能。</w:t>
            </w:r>
          </w:p>
          <w:p>
            <w:pPr>
              <w:pStyle w:val="41"/>
              <w:keepNext w:val="0"/>
              <w:keepLines w:val="0"/>
              <w:pageBreakBefore w:val="0"/>
              <w:widowControl/>
              <w:numPr>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5.6.3.2</w:t>
            </w:r>
            <w:r>
              <w:rPr>
                <w:rFonts w:hint="eastAsia" w:ascii="宋体" w:hAnsi="宋体" w:eastAsia="宋体" w:cs="宋体"/>
                <w:sz w:val="18"/>
                <w:szCs w:val="18"/>
                <w:lang w:eastAsia="zh-CN"/>
              </w:rPr>
              <w:t>应能进行预制菜库存、更新、上架等信息管理。</w:t>
            </w:r>
          </w:p>
          <w:p>
            <w:pPr>
              <w:pStyle w:val="40"/>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5.6.4</w:t>
            </w:r>
            <w:r>
              <w:rPr>
                <w:rFonts w:hint="eastAsia" w:ascii="宋体" w:hAnsi="宋体" w:eastAsia="宋体" w:cs="宋体"/>
                <w:sz w:val="18"/>
                <w:szCs w:val="18"/>
                <w:lang w:eastAsia="zh-CN"/>
              </w:rPr>
              <w:t>订单生成、支付和退款</w:t>
            </w:r>
          </w:p>
          <w:p>
            <w:pPr>
              <w:pStyle w:val="41"/>
              <w:keepNext w:val="0"/>
              <w:keepLines w:val="0"/>
              <w:pageBreakBefore w:val="0"/>
              <w:widowControl/>
              <w:numPr>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5.6.4.1</w:t>
            </w:r>
            <w:r>
              <w:rPr>
                <w:rFonts w:hint="eastAsia" w:ascii="宋体" w:hAnsi="宋体" w:eastAsia="宋体" w:cs="宋体"/>
                <w:sz w:val="18"/>
                <w:szCs w:val="18"/>
                <w:lang w:eastAsia="zh-CN"/>
              </w:rPr>
              <w:t>应能根据商品单价和数量等信息进行计价，能自动生成订单和下单。</w:t>
            </w:r>
          </w:p>
          <w:p>
            <w:pPr>
              <w:pStyle w:val="41"/>
              <w:keepNext w:val="0"/>
              <w:keepLines w:val="0"/>
              <w:pageBreakBefore w:val="0"/>
              <w:widowControl/>
              <w:numPr>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5.6.4.2</w:t>
            </w:r>
            <w:r>
              <w:rPr>
                <w:rFonts w:hint="eastAsia" w:ascii="宋体" w:hAnsi="宋体" w:eastAsia="宋体" w:cs="宋体"/>
                <w:sz w:val="18"/>
                <w:szCs w:val="18"/>
                <w:lang w:eastAsia="zh-CN"/>
              </w:rPr>
              <w:t>应有非现金支付（如微信、支付宝、刷脸</w:t>
            </w:r>
            <w:r>
              <w:rPr>
                <w:rFonts w:hint="eastAsia" w:ascii="宋体" w:hAnsi="宋体" w:eastAsia="宋体" w:cs="宋体"/>
                <w:sz w:val="18"/>
                <w:szCs w:val="18"/>
                <w:highlight w:val="none"/>
                <w:lang w:eastAsia="zh-CN"/>
              </w:rPr>
              <w:t>等</w:t>
            </w:r>
            <w:r>
              <w:rPr>
                <w:rFonts w:hint="eastAsia" w:ascii="宋体" w:hAnsi="宋体" w:eastAsia="宋体" w:cs="宋体"/>
                <w:sz w:val="18"/>
                <w:szCs w:val="18"/>
                <w:lang w:eastAsia="zh-CN"/>
              </w:rPr>
              <w:t>）</w:t>
            </w:r>
            <w:r>
              <w:rPr>
                <w:rFonts w:hint="eastAsia" w:ascii="宋体" w:hAnsi="宋体" w:eastAsia="宋体" w:cs="宋体"/>
                <w:sz w:val="18"/>
                <w:szCs w:val="18"/>
                <w:highlight w:val="none"/>
                <w:lang w:eastAsia="zh-CN"/>
              </w:rPr>
              <w:t>智能支付方式</w:t>
            </w:r>
            <w:r>
              <w:rPr>
                <w:rFonts w:hint="eastAsia" w:ascii="宋体" w:hAnsi="宋体" w:eastAsia="宋体" w:cs="宋体"/>
                <w:sz w:val="18"/>
                <w:szCs w:val="18"/>
                <w:highlight w:val="none"/>
                <w:lang w:val="en-US" w:eastAsia="zh-CN"/>
              </w:rPr>
              <w:t>。</w:t>
            </w:r>
          </w:p>
          <w:p>
            <w:pPr>
              <w:pStyle w:val="22"/>
              <w:keepNext w:val="0"/>
              <w:keepLines w:val="0"/>
              <w:pageBreakBefore w:val="0"/>
              <w:numPr>
                <w:numId w:val="0"/>
              </w:numPr>
              <w:kinsoku/>
              <w:wordWrap/>
              <w:overflowPunct/>
              <w:topLinePunct w:val="0"/>
              <w:bidi w:val="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5.6.4.3在出货失败等交易不成功时</w:t>
            </w:r>
            <w:r>
              <w:rPr>
                <w:rFonts w:hint="eastAsia" w:ascii="宋体" w:hAnsi="宋体" w:eastAsia="宋体" w:cs="宋体"/>
                <w:sz w:val="18"/>
                <w:szCs w:val="18"/>
                <w:lang w:eastAsia="zh-CN"/>
              </w:rPr>
              <w:t>，售卖机应能及时检测并自动向服务器发起退款动作，并能提供</w:t>
            </w:r>
            <w:r>
              <w:rPr>
                <w:rFonts w:hint="eastAsia" w:ascii="宋体" w:hAnsi="宋体" w:eastAsia="宋体" w:cs="宋体"/>
                <w:sz w:val="18"/>
                <w:szCs w:val="18"/>
                <w:lang w:val="en-US" w:eastAsia="zh-CN"/>
              </w:rPr>
              <w:t>退款流永明细数据。当自动退款失败时，应能够人工进行退款操作。</w:t>
            </w:r>
          </w:p>
          <w:p>
            <w:pPr>
              <w:pStyle w:val="40"/>
              <w:keepNext w:val="0"/>
              <w:keepLines w:val="0"/>
              <w:pageBreakBefore w:val="0"/>
              <w:numPr>
                <w:numId w:val="0"/>
              </w:numPr>
              <w:kinsoku/>
              <w:wordWrap/>
              <w:overflowPunct/>
              <w:topLinePunct w:val="0"/>
              <w:bidi w:val="0"/>
              <w:spacing w:beforeLines="0" w:afterLines="0"/>
              <w:ind w:left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5.6.5监控与报警</w:t>
            </w:r>
          </w:p>
          <w:p>
            <w:pPr>
              <w:pStyle w:val="22"/>
              <w:keepNext w:val="0"/>
              <w:keepLines w:val="0"/>
              <w:pageBreakBefore w:val="0"/>
              <w:numPr>
                <w:numId w:val="0"/>
              </w:numPr>
              <w:kinsoku/>
              <w:wordWrap/>
              <w:overflowPunct/>
              <w:topLinePunct w:val="0"/>
              <w:bidi w:val="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highlight w:val="none"/>
                <w:lang w:val="en-US" w:eastAsia="zh-CN"/>
              </w:rPr>
              <w:t>应具有温度、库存、销售、设备状态等监控功能，当出现异常时应能及时报警。</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lang w:eastAsia="zh-CN"/>
              </w:rPr>
            </w:pPr>
            <w:r>
              <w:rPr>
                <w:rFonts w:hint="eastAsia" w:ascii="宋体" w:hAnsi="宋体" w:eastAsia="宋体" w:cs="宋体"/>
                <w:color w:val="auto"/>
                <w:sz w:val="18"/>
                <w:szCs w:val="18"/>
              </w:rPr>
              <w:t>电磁兼容</w:t>
            </w:r>
          </w:p>
        </w:tc>
        <w:tc>
          <w:tcPr>
            <w:tcW w:w="2176" w:type="pct"/>
            <w:vAlign w:val="center"/>
          </w:tcPr>
          <w:p>
            <w:pPr>
              <w:pStyle w:val="22"/>
              <w:keepNext w:val="0"/>
              <w:keepLines w:val="0"/>
              <w:pageBreakBefore w:val="0"/>
              <w:numPr>
                <w:numId w:val="0"/>
              </w:numPr>
              <w:kinsoku/>
              <w:wordWrap/>
              <w:overflowPunct/>
              <w:topLinePunct w:val="0"/>
              <w:bidi w:val="0"/>
              <w:jc w:val="left"/>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5.7.6</w:t>
            </w:r>
            <w:r>
              <w:rPr>
                <w:rFonts w:hint="eastAsia" w:ascii="宋体" w:hAnsi="宋体" w:eastAsia="宋体" w:cs="宋体"/>
                <w:sz w:val="18"/>
                <w:szCs w:val="18"/>
              </w:rPr>
              <w:t>应符合GB 4343.1、GB</w:t>
            </w:r>
            <w:r>
              <w:rPr>
                <w:rFonts w:hint="eastAsia" w:ascii="宋体" w:hAnsi="宋体" w:eastAsia="宋体" w:cs="宋体"/>
                <w:sz w:val="18"/>
                <w:szCs w:val="18"/>
                <w:lang w:val="en-US"/>
              </w:rPr>
              <w:t>/T</w:t>
            </w:r>
            <w:r>
              <w:rPr>
                <w:rFonts w:hint="eastAsia" w:ascii="宋体" w:hAnsi="宋体" w:eastAsia="宋体" w:cs="宋体"/>
                <w:sz w:val="18"/>
                <w:szCs w:val="18"/>
              </w:rPr>
              <w:t xml:space="preserve"> 4343.2和GB 17625.1的要求。</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rPr>
            </w:pPr>
            <w:r>
              <w:rPr>
                <w:rFonts w:hint="eastAsia" w:ascii="宋体" w:hAnsi="宋体" w:eastAsia="宋体" w:cs="宋体"/>
                <w:sz w:val="18"/>
                <w:szCs w:val="18"/>
                <w:lang w:eastAsia="zh-CN"/>
              </w:rPr>
              <w:t>能效等级</w:t>
            </w:r>
          </w:p>
        </w:tc>
        <w:tc>
          <w:tcPr>
            <w:tcW w:w="2176" w:type="pct"/>
            <w:vAlign w:val="center"/>
          </w:tcPr>
          <w:p>
            <w:pPr>
              <w:pStyle w:val="22"/>
              <w:keepNext w:val="0"/>
              <w:keepLines w:val="0"/>
              <w:pageBreakBefore w:val="0"/>
              <w:numPr>
                <w:numId w:val="0"/>
              </w:numPr>
              <w:kinsoku/>
              <w:wordWrap/>
              <w:overflowPunct/>
              <w:topLinePunct w:val="0"/>
              <w:bidi w:val="0"/>
              <w:jc w:val="left"/>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5.8.2</w:t>
            </w:r>
            <w:r>
              <w:rPr>
                <w:rFonts w:hint="eastAsia" w:ascii="宋体" w:hAnsi="宋体" w:eastAsia="宋体" w:cs="宋体"/>
                <w:sz w:val="18"/>
                <w:szCs w:val="18"/>
              </w:rPr>
              <w:t>不应低于GB 26920.3—2019规定的3级。</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有害物质限量</w:t>
            </w:r>
          </w:p>
        </w:tc>
        <w:tc>
          <w:tcPr>
            <w:tcW w:w="2176" w:type="pct"/>
            <w:vAlign w:val="center"/>
          </w:tcPr>
          <w:p>
            <w:pPr>
              <w:pStyle w:val="22"/>
              <w:keepNext w:val="0"/>
              <w:keepLines w:val="0"/>
              <w:pageBreakBefore w:val="0"/>
              <w:numPr>
                <w:numId w:val="0"/>
              </w:numPr>
              <w:kinsoku/>
              <w:wordWrap/>
              <w:overflowPunct/>
              <w:topLinePunct w:val="0"/>
              <w:bidi w:val="0"/>
              <w:jc w:val="left"/>
              <w:textAlignment w:val="auto"/>
              <w:rPr>
                <w:rFonts w:hint="eastAsia" w:ascii="宋体" w:hAnsi="宋体" w:eastAsia="宋体" w:cs="宋体"/>
                <w:sz w:val="18"/>
                <w:szCs w:val="18"/>
              </w:rPr>
            </w:pPr>
            <w:r>
              <w:rPr>
                <w:rFonts w:hint="eastAsia" w:ascii="宋体" w:hAnsi="宋体" w:eastAsia="宋体" w:cs="宋体"/>
                <w:color w:val="auto"/>
                <w:sz w:val="18"/>
                <w:szCs w:val="18"/>
                <w:lang w:val="en-US" w:eastAsia="zh-CN"/>
              </w:rPr>
              <w:t>5.9</w:t>
            </w:r>
            <w:r>
              <w:rPr>
                <w:rFonts w:hint="eastAsia" w:ascii="宋体" w:hAnsi="宋体" w:eastAsia="宋体" w:cs="宋体"/>
                <w:color w:val="auto"/>
                <w:sz w:val="18"/>
                <w:szCs w:val="18"/>
              </w:rPr>
              <w:t>应符合GB/T 26572的要求</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val="en-US"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313"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val="zh-CN" w:eastAsia="zh-CN"/>
              </w:rPr>
            </w:pPr>
          </w:p>
        </w:tc>
        <w:tc>
          <w:tcPr>
            <w:tcW w:w="514"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rPr>
              <w:t>环境适应性</w:t>
            </w:r>
          </w:p>
        </w:tc>
        <w:tc>
          <w:tcPr>
            <w:tcW w:w="2176" w:type="pct"/>
            <w:vAlign w:val="center"/>
          </w:tcPr>
          <w:p>
            <w:pPr>
              <w:pStyle w:val="39"/>
              <w:keepNext w:val="0"/>
              <w:keepLines w:val="0"/>
              <w:pageBreakBefore w:val="0"/>
              <w:widowControl/>
              <w:numPr>
                <w:numId w:val="0"/>
              </w:numPr>
              <w:kinsoku/>
              <w:wordWrap/>
              <w:overflowPunct/>
              <w:topLinePunct w:val="0"/>
              <w:autoSpaceDE/>
              <w:autoSpaceDN/>
              <w:bidi w:val="0"/>
              <w:adjustRightInd/>
              <w:snapToGrid/>
              <w:spacing w:beforeLines="0" w:afterLines="0"/>
              <w:ind w:leftChars="0"/>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5.10.1</w:t>
            </w:r>
            <w:r>
              <w:rPr>
                <w:rFonts w:hint="eastAsia" w:ascii="宋体" w:hAnsi="宋体" w:eastAsia="宋体" w:cs="宋体"/>
                <w:sz w:val="18"/>
                <w:szCs w:val="18"/>
              </w:rPr>
              <w:t>经</w:t>
            </w:r>
            <w:r>
              <w:rPr>
                <w:rFonts w:hint="eastAsia" w:ascii="宋体" w:hAnsi="宋体" w:eastAsia="宋体" w:cs="宋体"/>
                <w:sz w:val="18"/>
                <w:szCs w:val="18"/>
                <w:lang w:eastAsia="zh-CN"/>
              </w:rPr>
              <w:t>低温、高温和恒定湿热试验后，</w:t>
            </w:r>
            <w:r>
              <w:rPr>
                <w:rFonts w:hint="eastAsia" w:ascii="宋体" w:hAnsi="宋体" w:eastAsia="宋体" w:cs="宋体"/>
                <w:sz w:val="18"/>
                <w:szCs w:val="18"/>
              </w:rPr>
              <w:t>应能正常工作。</w:t>
            </w:r>
          </w:p>
          <w:p>
            <w:pPr>
              <w:keepNext w:val="0"/>
              <w:keepLines w:val="0"/>
              <w:pageBreakBefore w:val="0"/>
              <w:kinsoku/>
              <w:wordWrap/>
              <w:overflowPunct/>
              <w:topLinePunct w:val="0"/>
              <w:bidi w:val="0"/>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z w:val="18"/>
                <w:szCs w:val="18"/>
                <w:lang w:val="en-US" w:eastAsia="zh-CN"/>
              </w:rPr>
              <w:t>5.10.2</w:t>
            </w:r>
            <w:r>
              <w:rPr>
                <w:rFonts w:hint="eastAsia" w:ascii="宋体" w:hAnsi="宋体" w:eastAsia="宋体" w:cs="宋体"/>
                <w:sz w:val="18"/>
                <w:szCs w:val="18"/>
              </w:rPr>
              <w:t>金属部件经耐腐蚀性试验后，不应低于GB/T 6461—2002规定的</w:t>
            </w:r>
            <w:r>
              <w:rPr>
                <w:rFonts w:hint="eastAsia" w:ascii="宋体" w:hAnsi="宋体" w:eastAsia="宋体" w:cs="宋体"/>
                <w:sz w:val="18"/>
                <w:szCs w:val="18"/>
                <w:lang w:eastAsia="zh-CN"/>
              </w:rPr>
              <w:t>外观评级（</w:t>
            </w:r>
            <w:r>
              <w:rPr>
                <w:rFonts w:hint="eastAsia" w:ascii="宋体" w:hAnsi="宋体" w:eastAsia="宋体" w:cs="宋体"/>
                <w:i/>
                <w:iCs/>
                <w:sz w:val="18"/>
                <w:szCs w:val="18"/>
              </w:rPr>
              <w:t>R</w:t>
            </w:r>
            <w:r>
              <w:rPr>
                <w:rFonts w:hint="eastAsia" w:ascii="宋体" w:hAnsi="宋体" w:eastAsia="宋体" w:cs="宋体"/>
                <w:sz w:val="18"/>
                <w:szCs w:val="18"/>
                <w:vertAlign w:val="subscript"/>
                <w:lang w:val="en-US" w:eastAsia="zh-CN"/>
              </w:rPr>
              <w:t>A</w:t>
            </w:r>
            <w:r>
              <w:rPr>
                <w:rFonts w:hint="eastAsia" w:ascii="宋体" w:hAnsi="宋体" w:eastAsia="宋体" w:cs="宋体"/>
                <w:sz w:val="18"/>
                <w:szCs w:val="18"/>
                <w:lang w:val="en-US" w:eastAsia="zh-CN"/>
              </w:rPr>
              <w:t>）8级以上</w:t>
            </w:r>
            <w:r>
              <w:rPr>
                <w:rFonts w:hint="eastAsia" w:ascii="宋体" w:hAnsi="宋体" w:eastAsia="宋体" w:cs="宋体"/>
                <w:sz w:val="18"/>
                <w:szCs w:val="18"/>
              </w:rPr>
              <w:t>。</w:t>
            </w:r>
          </w:p>
        </w:tc>
        <w:tc>
          <w:tcPr>
            <w:tcW w:w="1381"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val="en-US" w:eastAsia="zh-CN"/>
              </w:rPr>
              <w:t>——</w:t>
            </w:r>
          </w:p>
        </w:tc>
        <w:tc>
          <w:tcPr>
            <w:tcW w:w="613"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spacing w:val="0"/>
                <w:sz w:val="18"/>
                <w:szCs w:val="18"/>
                <w:shd w:val="clear" w:color="auto" w:fill="auto"/>
                <w:lang w:eastAsia="zh-CN"/>
              </w:rPr>
            </w:pPr>
            <w:r>
              <w:rPr>
                <w:rFonts w:hint="eastAsia" w:ascii="宋体" w:hAnsi="宋体" w:eastAsia="宋体" w:cs="宋体"/>
                <w:spacing w:val="0"/>
                <w:sz w:val="18"/>
                <w:szCs w:val="18"/>
                <w:shd w:val="clear" w:color="auto" w:fill="auto"/>
                <w:lang w:eastAsia="zh-CN"/>
              </w:rPr>
              <w:t>新增</w:t>
            </w:r>
          </w:p>
        </w:tc>
      </w:tr>
    </w:tbl>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标准先进性说明：</w:t>
      </w:r>
    </w:p>
    <w:p>
      <w:pPr>
        <w:ind w:firstLine="560" w:firstLineChars="200"/>
        <w:rPr>
          <w:rFonts w:hint="eastAsia" w:ascii="仿宋" w:hAnsi="仿宋" w:eastAsia="仿宋" w:cs="仿宋"/>
          <w:bCs/>
          <w:sz w:val="28"/>
          <w:szCs w:val="28"/>
          <w:lang w:val="zh-CN" w:eastAsia="zh-CN"/>
        </w:rPr>
      </w:pPr>
      <w:bookmarkStart w:id="10" w:name="_Hlk161677665"/>
      <w:r>
        <w:rPr>
          <w:rFonts w:hint="eastAsia" w:ascii="仿宋" w:hAnsi="仿宋" w:eastAsia="仿宋" w:cs="仿宋"/>
          <w:bCs/>
          <w:sz w:val="28"/>
          <w:szCs w:val="28"/>
          <w:lang w:val="zh-CN" w:eastAsia="zh-CN"/>
        </w:rPr>
        <w:t>1）外壳防护等级</w:t>
      </w:r>
      <w:r>
        <w:rPr>
          <w:rFonts w:hint="eastAsia" w:ascii="仿宋" w:hAnsi="仿宋" w:eastAsia="仿宋" w:cs="仿宋"/>
          <w:bCs/>
          <w:sz w:val="28"/>
          <w:szCs w:val="28"/>
          <w:lang w:val="en-US" w:eastAsia="zh-CN"/>
        </w:rPr>
        <w:t>、</w:t>
      </w:r>
      <w:r>
        <w:rPr>
          <w:rFonts w:hint="eastAsia" w:ascii="仿宋" w:hAnsi="仿宋" w:eastAsia="仿宋" w:cs="仿宋"/>
          <w:bCs/>
          <w:sz w:val="28"/>
          <w:szCs w:val="28"/>
          <w:lang w:val="zh-CN" w:eastAsia="zh-CN"/>
        </w:rPr>
        <w:t>防夹手能力、</w:t>
      </w:r>
      <w:r>
        <w:rPr>
          <w:rFonts w:hint="eastAsia" w:ascii="仿宋" w:hAnsi="仿宋" w:eastAsia="仿宋" w:cs="仿宋"/>
          <w:bCs/>
          <w:sz w:val="28"/>
          <w:szCs w:val="28"/>
          <w:lang w:val="zh-CN" w:eastAsia="zh-CN"/>
        </w:rPr>
        <w:t>卫生、电磁兼容等安全指标</w:t>
      </w:r>
      <w:r>
        <w:rPr>
          <w:rFonts w:hint="eastAsia" w:ascii="仿宋" w:hAnsi="仿宋" w:eastAsia="仿宋" w:cs="仿宋"/>
          <w:bCs/>
          <w:sz w:val="28"/>
          <w:szCs w:val="28"/>
          <w:lang w:val="zh-CN" w:eastAsia="zh-CN"/>
        </w:rPr>
        <w:t>：反映产品的安全卫生要求。</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理由说明：电磁兼容优良的售卖机能保证产品使用不会受到外界电磁的干扰，同时也能确保自身发出电磁不会对周围产品使用生产不利影响，是国内外对电气电器产品的要求。</w:t>
      </w:r>
      <w:r>
        <w:rPr>
          <w:rFonts w:hint="eastAsia" w:ascii="仿宋" w:hAnsi="仿宋" w:eastAsia="仿宋" w:cs="仿宋"/>
          <w:bCs/>
          <w:sz w:val="28"/>
          <w:szCs w:val="28"/>
          <w:lang w:val="zh-CN" w:eastAsia="zh-CN"/>
        </w:rPr>
        <w:t>卫生安全是保障用户的食品安全，外壳防护等级是考虑售卖机的户外使用防护要求、防夹手能力是考虑用户取拿商品的安全性。这些技术指标即是产品使用安全性，也是产品先进性的体现，也是其它先进性指标具有可行性的前提</w:t>
      </w:r>
      <w:r>
        <w:rPr>
          <w:rFonts w:hint="eastAsia" w:ascii="仿宋" w:hAnsi="仿宋" w:eastAsia="仿宋" w:cs="仿宋"/>
          <w:bCs/>
          <w:sz w:val="28"/>
          <w:szCs w:val="28"/>
          <w:lang w:eastAsia="zh-CN"/>
        </w:rPr>
        <w:t>，以确保产品工作能力、质量</w:t>
      </w:r>
      <w:r>
        <w:rPr>
          <w:rFonts w:hint="eastAsia" w:ascii="仿宋" w:hAnsi="仿宋" w:eastAsia="仿宋" w:cs="仿宋"/>
          <w:bCs/>
          <w:sz w:val="28"/>
          <w:szCs w:val="28"/>
          <w:lang w:val="en-US" w:eastAsia="zh-CN"/>
        </w:rPr>
        <w:t>和可靠性的保障和提升。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bCs/>
          <w:sz w:val="28"/>
          <w:szCs w:val="28"/>
          <w:lang w:val="zh-CN" w:eastAsia="zh-CN"/>
        </w:rPr>
        <w:t>电源适应性、门封气密性、噪声、</w:t>
      </w:r>
      <w:bookmarkStart w:id="11" w:name="OLE_LINK10"/>
      <w:r>
        <w:rPr>
          <w:rFonts w:hint="eastAsia" w:ascii="仿宋" w:hAnsi="仿宋" w:eastAsia="仿宋" w:cs="仿宋"/>
          <w:bCs/>
          <w:sz w:val="28"/>
          <w:szCs w:val="28"/>
          <w:lang w:val="zh-CN" w:eastAsia="zh-CN"/>
        </w:rPr>
        <w:t>待机日耗电量</w:t>
      </w:r>
      <w:bookmarkEnd w:id="11"/>
      <w:r>
        <w:rPr>
          <w:rFonts w:hint="eastAsia" w:ascii="仿宋" w:hAnsi="仿宋" w:eastAsia="仿宋" w:cs="仿宋"/>
          <w:bCs/>
          <w:sz w:val="28"/>
          <w:szCs w:val="28"/>
          <w:lang w:val="zh-CN" w:eastAsia="zh-CN"/>
        </w:rPr>
        <w:t>、能效等级、环境适应性等技术指标</w:t>
      </w:r>
      <w:r>
        <w:rPr>
          <w:rFonts w:hint="eastAsia" w:ascii="仿宋" w:hAnsi="仿宋" w:eastAsia="仿宋" w:cs="仿宋"/>
          <w:bCs/>
          <w:sz w:val="28"/>
          <w:szCs w:val="28"/>
          <w:lang w:val="en-US" w:eastAsia="zh-CN"/>
        </w:rPr>
        <w:t>：</w:t>
      </w:r>
      <w:r>
        <w:rPr>
          <w:rFonts w:hint="eastAsia" w:ascii="仿宋" w:hAnsi="仿宋" w:eastAsia="仿宋" w:cs="仿宋"/>
          <w:bCs/>
          <w:sz w:val="28"/>
          <w:szCs w:val="28"/>
          <w:lang w:val="zh-CN" w:eastAsia="zh-CN"/>
        </w:rPr>
        <w:t>反映产品结构、材料和绝热及运行功能和可靠性优良</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w:t>
      </w:r>
      <w:r>
        <w:rPr>
          <w:rFonts w:hint="eastAsia" w:ascii="仿宋" w:hAnsi="仿宋" w:eastAsia="仿宋" w:cs="仿宋"/>
          <w:bCs/>
          <w:sz w:val="28"/>
          <w:szCs w:val="28"/>
          <w:lang w:val="zh-CN" w:eastAsia="zh-CN"/>
        </w:rPr>
        <w:t>电源适应性、门封气密性、噪声、待机日耗电量、能效等级、环境适应性等技术指标</w:t>
      </w:r>
      <w:r>
        <w:rPr>
          <w:rFonts w:hint="eastAsia" w:ascii="仿宋" w:hAnsi="仿宋" w:eastAsia="仿宋" w:cs="仿宋"/>
          <w:bCs/>
          <w:sz w:val="28"/>
          <w:szCs w:val="28"/>
          <w:lang w:val="en-US" w:eastAsia="zh-CN"/>
        </w:rPr>
        <w:t>，是用户关心的重要指标，是企业提高市场竞争力的核心，是售卖机产品技术提升的难点和痛点，也是佛山市售卖机能占据国内外市场的法宝。这些性能指标的提高并优于或新增于行标，将为促进佛山市售卖机行业的高质量发展并引领行业的发展具有决定性作用，极大促进企业的市场品牌效应，</w:t>
      </w:r>
      <w:r>
        <w:rPr>
          <w:rFonts w:hint="eastAsia" w:ascii="仿宋" w:hAnsi="仿宋" w:eastAsia="仿宋" w:cs="仿宋"/>
          <w:bCs/>
          <w:sz w:val="28"/>
          <w:szCs w:val="28"/>
          <w:lang w:eastAsia="zh-CN"/>
        </w:rPr>
        <w:t>是国家推进产品更新换代和绿色发展的新质指标。</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w:t>
      </w:r>
      <w:bookmarkStart w:id="12" w:name="_Hlk161676697"/>
      <w:r>
        <w:rPr>
          <w:rFonts w:hint="eastAsia" w:ascii="仿宋" w:hAnsi="仿宋" w:eastAsia="仿宋" w:cs="仿宋"/>
          <w:bCs/>
          <w:sz w:val="28"/>
          <w:szCs w:val="28"/>
          <w:lang w:val="en-US" w:eastAsia="zh-CN"/>
        </w:rPr>
        <w:t>支付时间、交付时间、退款时间、销售预制菜温度、加热等技术指标，是产品应用场景和消费者体验感受的反映，直接反映了产品使用性能的优良性</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理由说明：</w:t>
      </w:r>
      <w:r>
        <w:rPr>
          <w:rFonts w:hint="eastAsia" w:ascii="仿宋" w:hAnsi="仿宋" w:eastAsia="仿宋" w:cs="仿宋"/>
          <w:bCs/>
          <w:sz w:val="28"/>
          <w:szCs w:val="28"/>
          <w:lang w:val="en-US" w:eastAsia="zh-CN"/>
        </w:rPr>
        <w:t>支付时间、交付时间、退款时间、销售预制菜温度、加热等技术指标，为消费者直接体验指标，是产品使用性能的关键性指标，同样是是企业提高市场竞争力的核心，是售卖机产品技术提升的难点和痛点，也是佛山市售卖机能占据国内外市场的法宝，对促进企业的市场品牌效应提升和售卖机产业的发展提供支撑，也是</w:t>
      </w:r>
      <w:r>
        <w:rPr>
          <w:rFonts w:hint="eastAsia" w:ascii="仿宋" w:hAnsi="仿宋" w:eastAsia="仿宋" w:cs="仿宋"/>
          <w:bCs/>
          <w:sz w:val="28"/>
          <w:szCs w:val="28"/>
          <w:lang w:eastAsia="zh-CN"/>
        </w:rPr>
        <w:t>国家推进产品更新换代和绿色发展的新质指标。</w:t>
      </w:r>
    </w:p>
    <w:p>
      <w:pPr>
        <w:pStyle w:val="16"/>
        <w:ind w:firstLine="560"/>
        <w:rPr>
          <w:rFonts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lang w:eastAsia="zh-CN"/>
        </w:rPr>
        <w:t>智能化性能</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高</w:t>
      </w:r>
      <w:r>
        <w:rPr>
          <w:rFonts w:hint="eastAsia" w:ascii="仿宋" w:hAnsi="仿宋" w:eastAsia="仿宋" w:cs="仿宋"/>
          <w:bCs/>
          <w:sz w:val="28"/>
          <w:szCs w:val="28"/>
        </w:rPr>
        <w:t>质量性</w:t>
      </w:r>
      <w:r>
        <w:rPr>
          <w:rFonts w:hint="eastAsia" w:ascii="仿宋" w:hAnsi="仿宋" w:eastAsia="仿宋" w:cs="仿宋"/>
          <w:bCs/>
          <w:sz w:val="28"/>
          <w:szCs w:val="28"/>
          <w:lang w:eastAsia="zh-CN"/>
        </w:rPr>
        <w:t>和前瞻性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12"/>
      <w:r>
        <w:rPr>
          <w:rFonts w:hint="eastAsia" w:ascii="仿宋" w:hAnsi="仿宋" w:eastAsia="仿宋" w:cs="仿宋"/>
          <w:bCs/>
          <w:sz w:val="28"/>
          <w:szCs w:val="28"/>
          <w:lang w:eastAsia="zh-CN"/>
        </w:rPr>
        <w:t>产品智能化是国家产品更新换代和高质量产品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p>
      <w:pPr>
        <w:pStyle w:val="16"/>
        <w:spacing w:line="360" w:lineRule="auto"/>
        <w:ind w:firstLine="562"/>
        <w:rPr>
          <w:rFonts w:ascii="仿宋" w:hAnsi="仿宋" w:eastAsia="仿宋" w:cs="仿宋"/>
          <w:bCs/>
          <w:sz w:val="28"/>
          <w:szCs w:val="28"/>
        </w:rPr>
      </w:pPr>
      <w:r>
        <w:rPr>
          <w:rFonts w:hint="eastAsia" w:ascii="仿宋" w:hAnsi="仿宋" w:eastAsia="仿宋" w:cs="仿宋"/>
          <w:b/>
          <w:sz w:val="28"/>
          <w:szCs w:val="28"/>
          <w:lang w:val="en-US" w:eastAsia="zh-CN"/>
        </w:rPr>
        <w:t>5</w:t>
      </w:r>
      <w:r>
        <w:rPr>
          <w:rFonts w:hint="eastAsia" w:ascii="仿宋" w:hAnsi="仿宋" w:eastAsia="仿宋" w:cs="仿宋"/>
          <w:bCs/>
          <w:sz w:val="28"/>
          <w:szCs w:val="28"/>
        </w:rPr>
        <w:t>）</w:t>
      </w:r>
      <w:r>
        <w:rPr>
          <w:rFonts w:hint="eastAsia" w:ascii="仿宋" w:hAnsi="仿宋" w:eastAsia="仿宋" w:cs="仿宋"/>
          <w:bCs/>
          <w:sz w:val="28"/>
          <w:szCs w:val="28"/>
          <w:lang w:val="zh-CN" w:eastAsia="zh-CN"/>
        </w:rPr>
        <w:t>有害物质限量</w:t>
      </w:r>
      <w:r>
        <w:rPr>
          <w:rFonts w:hint="eastAsia" w:ascii="仿宋" w:hAnsi="仿宋" w:eastAsia="仿宋" w:cs="仿宋"/>
          <w:bCs/>
          <w:sz w:val="28"/>
          <w:szCs w:val="28"/>
        </w:rPr>
        <w:t>：反映产品安全环保属性要求。</w:t>
      </w:r>
    </w:p>
    <w:bookmarkEnd w:id="10"/>
    <w:p>
      <w:pPr>
        <w:pStyle w:val="16"/>
        <w:ind w:firstLine="560"/>
        <w:rPr>
          <w:rFonts w:hAnsi="宋体" w:cs="宋体"/>
          <w:kern w:val="2"/>
          <w:szCs w:val="21"/>
        </w:rPr>
      </w:pPr>
      <w:r>
        <w:rPr>
          <w:rFonts w:hint="eastAsia" w:ascii="仿宋" w:hAnsi="仿宋" w:eastAsia="仿宋" w:cs="仿宋"/>
          <w:bCs/>
          <w:sz w:val="28"/>
          <w:szCs w:val="28"/>
        </w:rPr>
        <w:t>理由说明：随着消费者对环保和健康的关注度不断提高，具备低有害物质含量的产品更容易受到市场的青睐。通过满足或超越相关标准和法规的要求，产品可以获得更多消费者的信任和认可，从而增强品牌影响力和市场份额</w:t>
      </w:r>
      <w:r>
        <w:rPr>
          <w:rFonts w:hint="eastAsia" w:ascii="仿宋" w:hAnsi="仿宋" w:eastAsia="仿宋" w:cs="仿宋"/>
          <w:bCs/>
          <w:sz w:val="28"/>
          <w:szCs w:val="28"/>
          <w:lang w:eastAsia="zh-CN"/>
        </w:rPr>
        <w:t>，也是国家绿色环保发展法律法规和政策要求</w:t>
      </w:r>
      <w:r>
        <w:rPr>
          <w:rFonts w:hint="eastAsia" w:ascii="仿宋" w:hAnsi="仿宋" w:eastAsia="仿宋" w:cs="仿宋"/>
          <w:bCs/>
          <w:sz w:val="28"/>
          <w:szCs w:val="28"/>
        </w:rPr>
        <w:t>。国标</w:t>
      </w:r>
      <w:r>
        <w:rPr>
          <w:rFonts w:hint="eastAsia" w:ascii="仿宋" w:hAnsi="仿宋" w:eastAsia="仿宋" w:cs="仿宋"/>
          <w:bCs/>
          <w:sz w:val="28"/>
          <w:szCs w:val="28"/>
          <w:lang w:eastAsia="zh-CN"/>
        </w:rPr>
        <w:t>、行标</w:t>
      </w:r>
      <w:r>
        <w:rPr>
          <w:rFonts w:hint="eastAsia" w:ascii="仿宋" w:hAnsi="仿宋" w:eastAsia="仿宋" w:cs="仿宋"/>
          <w:bCs/>
          <w:sz w:val="28"/>
          <w:szCs w:val="28"/>
        </w:rPr>
        <w:t>中没有规定</w:t>
      </w:r>
      <w:r>
        <w:rPr>
          <w:rFonts w:hint="eastAsia" w:ascii="仿宋" w:hAnsi="仿宋" w:eastAsia="仿宋" w:cs="仿宋"/>
          <w:bCs/>
          <w:sz w:val="28"/>
          <w:szCs w:val="28"/>
          <w:lang w:eastAsia="zh-CN"/>
        </w:rPr>
        <w:t>此两</w:t>
      </w:r>
      <w:r>
        <w:rPr>
          <w:rFonts w:hint="eastAsia" w:ascii="仿宋" w:hAnsi="仿宋" w:eastAsia="仿宋" w:cs="仿宋"/>
          <w:bCs/>
          <w:sz w:val="28"/>
          <w:szCs w:val="28"/>
        </w:rPr>
        <w:t>项指标，考虑到用户以及消费者特别关注此项指标，</w:t>
      </w:r>
      <w:r>
        <w:rPr>
          <w:rFonts w:hint="eastAsia" w:ascii="仿宋" w:hAnsi="仿宋" w:eastAsia="仿宋" w:cs="仿宋"/>
          <w:bCs/>
          <w:sz w:val="28"/>
          <w:szCs w:val="28"/>
          <w:lang w:eastAsia="zh-CN"/>
        </w:rPr>
        <w:t>且为国家绿色产业发展的要求，</w:t>
      </w:r>
      <w:r>
        <w:rPr>
          <w:rFonts w:hint="eastAsia" w:ascii="仿宋" w:hAnsi="仿宋" w:eastAsia="仿宋" w:cs="仿宋"/>
          <w:bCs/>
          <w:sz w:val="28"/>
          <w:szCs w:val="28"/>
        </w:rPr>
        <w:t>增加了此</w:t>
      </w:r>
      <w:r>
        <w:rPr>
          <w:rFonts w:hint="eastAsia" w:ascii="仿宋" w:hAnsi="仿宋" w:eastAsia="仿宋" w:cs="仿宋"/>
          <w:bCs/>
          <w:sz w:val="28"/>
          <w:szCs w:val="28"/>
          <w:lang w:eastAsia="zh-CN"/>
        </w:rPr>
        <w:t>两</w:t>
      </w:r>
      <w:r>
        <w:rPr>
          <w:rFonts w:hint="eastAsia" w:ascii="仿宋" w:hAnsi="仿宋" w:eastAsia="仿宋" w:cs="仿宋"/>
          <w:bCs/>
          <w:sz w:val="28"/>
          <w:szCs w:val="28"/>
        </w:rPr>
        <w:t>项指标的考核，且该项指标</w:t>
      </w:r>
      <w:r>
        <w:rPr>
          <w:rFonts w:hint="eastAsia" w:ascii="仿宋" w:hAnsi="仿宋" w:eastAsia="仿宋" w:cs="仿宋"/>
          <w:bCs/>
          <w:sz w:val="28"/>
          <w:szCs w:val="28"/>
          <w:lang w:eastAsia="zh-CN"/>
        </w:rPr>
        <w:t>不低于</w:t>
      </w:r>
      <w:r>
        <w:rPr>
          <w:rFonts w:hint="eastAsia" w:ascii="仿宋" w:hAnsi="仿宋" w:eastAsia="仿宋" w:cs="仿宋"/>
          <w:bCs/>
          <w:sz w:val="28"/>
          <w:szCs w:val="28"/>
        </w:rPr>
        <w:t>欧盟ROSH指令</w:t>
      </w:r>
      <w:r>
        <w:rPr>
          <w:rFonts w:hint="eastAsia" w:ascii="仿宋" w:hAnsi="仿宋" w:eastAsia="仿宋" w:cs="仿宋"/>
          <w:bCs/>
          <w:sz w:val="28"/>
          <w:szCs w:val="28"/>
          <w:lang w:eastAsia="zh-CN"/>
        </w:rPr>
        <w:t>的要求，也是是国家推进产品更新换代和绿色环保发展的新质指标。</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根据产品标准的要求，兼顾生产方、买方及第三方的需求，既要保证判定的准确性又要力求可行，将判定规则分为出厂检验和型式检验，分别明确了检验项目、不合格分类及抽样方案和判定规则的确定。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根据国家对产品的使用说明要求，标准规定了产品的使用说明应符合标准中的技术要求。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 xml:space="preserve">《佛山标准 售卖机》标准研制工作组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月</w:t>
      </w:r>
      <w:r>
        <w:rPr>
          <w:rFonts w:hint="default" w:ascii="仿宋" w:hAnsi="仿宋" w:eastAsia="仿宋" w:cs="仿宋"/>
          <w:sz w:val="28"/>
          <w:szCs w:val="28"/>
          <w:lang w:val="en-US" w:eastAsia="zh-CN"/>
        </w:rPr>
        <w:t>2</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日</w:t>
      </w: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6FC930AC"/>
    <w:multiLevelType w:val="multilevel"/>
    <w:tmpl w:val="6FC930AC"/>
    <w:lvl w:ilvl="0" w:tentative="0">
      <w:start w:val="1"/>
      <w:numFmt w:val="decimal"/>
      <w:pStyle w:val="43"/>
      <w:suff w:val="nothing"/>
      <w:lvlText w:val="%1　"/>
      <w:lvlJc w:val="left"/>
      <w:pPr>
        <w:ind w:left="0" w:firstLine="0"/>
      </w:pPr>
      <w:rPr>
        <w:rFonts w:hint="eastAsia" w:ascii="黑体" w:hAnsi="黑体" w:eastAsia="黑体"/>
        <w:sz w:val="20"/>
      </w:rPr>
    </w:lvl>
    <w:lvl w:ilvl="1" w:tentative="0">
      <w:start w:val="1"/>
      <w:numFmt w:val="decimal"/>
      <w:pStyle w:val="42"/>
      <w:suff w:val="nothing"/>
      <w:lvlText w:val="%1.%2　"/>
      <w:lvlJc w:val="left"/>
      <w:pPr>
        <w:ind w:left="1276"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pStyle w:val="41"/>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5"/>
  </w:num>
  <w:num w:numId="5">
    <w:abstractNumId w:val="4"/>
  </w:num>
  <w:num w:numId="6">
    <w:abstractNumId w:val="7"/>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B3704B4"/>
    <w:rsid w:val="0C7327EB"/>
    <w:rsid w:val="0C8063E7"/>
    <w:rsid w:val="0C9F7A36"/>
    <w:rsid w:val="0CAC517A"/>
    <w:rsid w:val="0CE972B8"/>
    <w:rsid w:val="0DB03D55"/>
    <w:rsid w:val="0EB86E27"/>
    <w:rsid w:val="10F93F06"/>
    <w:rsid w:val="12DC05B5"/>
    <w:rsid w:val="1450231E"/>
    <w:rsid w:val="15B80698"/>
    <w:rsid w:val="172F2F59"/>
    <w:rsid w:val="17534CEC"/>
    <w:rsid w:val="179D1EDB"/>
    <w:rsid w:val="1A9637AF"/>
    <w:rsid w:val="1BDE13C1"/>
    <w:rsid w:val="1CE47554"/>
    <w:rsid w:val="1CF90154"/>
    <w:rsid w:val="208D2895"/>
    <w:rsid w:val="220B6B38"/>
    <w:rsid w:val="25C82A4C"/>
    <w:rsid w:val="26153389"/>
    <w:rsid w:val="27DD2B84"/>
    <w:rsid w:val="29C23C24"/>
    <w:rsid w:val="2C9456EE"/>
    <w:rsid w:val="2D00084B"/>
    <w:rsid w:val="2DA26642"/>
    <w:rsid w:val="2F172B1B"/>
    <w:rsid w:val="2F817BE3"/>
    <w:rsid w:val="325E2F6A"/>
    <w:rsid w:val="33375694"/>
    <w:rsid w:val="339802E0"/>
    <w:rsid w:val="342A6B27"/>
    <w:rsid w:val="355F3466"/>
    <w:rsid w:val="36232246"/>
    <w:rsid w:val="37FF69FD"/>
    <w:rsid w:val="384D221C"/>
    <w:rsid w:val="388131BD"/>
    <w:rsid w:val="394D4F22"/>
    <w:rsid w:val="39C406DC"/>
    <w:rsid w:val="3A541FF7"/>
    <w:rsid w:val="3AE85EBF"/>
    <w:rsid w:val="3B231DB6"/>
    <w:rsid w:val="3C6B5B77"/>
    <w:rsid w:val="3DD07A46"/>
    <w:rsid w:val="404C56FF"/>
    <w:rsid w:val="41C77FE8"/>
    <w:rsid w:val="44122E34"/>
    <w:rsid w:val="45EC4713"/>
    <w:rsid w:val="45F762BD"/>
    <w:rsid w:val="4AB560CE"/>
    <w:rsid w:val="4DED3CD5"/>
    <w:rsid w:val="4E080B51"/>
    <w:rsid w:val="4F7C6051"/>
    <w:rsid w:val="50CB1798"/>
    <w:rsid w:val="513D70DA"/>
    <w:rsid w:val="51D71EED"/>
    <w:rsid w:val="52634A96"/>
    <w:rsid w:val="53413B53"/>
    <w:rsid w:val="538E2D0B"/>
    <w:rsid w:val="598072CA"/>
    <w:rsid w:val="5C597408"/>
    <w:rsid w:val="5CB069F1"/>
    <w:rsid w:val="5D8B6D68"/>
    <w:rsid w:val="5E465936"/>
    <w:rsid w:val="5EBC12FA"/>
    <w:rsid w:val="5F961379"/>
    <w:rsid w:val="5F9D7B88"/>
    <w:rsid w:val="5FCF4E6E"/>
    <w:rsid w:val="603A41BB"/>
    <w:rsid w:val="612F3F66"/>
    <w:rsid w:val="65D14722"/>
    <w:rsid w:val="66DE0B02"/>
    <w:rsid w:val="679F325F"/>
    <w:rsid w:val="6835642B"/>
    <w:rsid w:val="6A475D4D"/>
    <w:rsid w:val="6AEF312F"/>
    <w:rsid w:val="6BB67446"/>
    <w:rsid w:val="6ED274D6"/>
    <w:rsid w:val="6EE72672"/>
    <w:rsid w:val="715603A1"/>
    <w:rsid w:val="719A4CC7"/>
    <w:rsid w:val="72AE00E5"/>
    <w:rsid w:val="72E8428C"/>
    <w:rsid w:val="74180B9A"/>
    <w:rsid w:val="75BD6C28"/>
    <w:rsid w:val="75E8386D"/>
    <w:rsid w:val="767A4544"/>
    <w:rsid w:val="77B0779C"/>
    <w:rsid w:val="780E5898"/>
    <w:rsid w:val="787248B0"/>
    <w:rsid w:val="79B32B63"/>
    <w:rsid w:val="7A0D7DD8"/>
    <w:rsid w:val="7AA52375"/>
    <w:rsid w:val="7C60038E"/>
    <w:rsid w:val="7F6762BE"/>
    <w:rsid w:val="7FF70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标准文件_三级条标题"/>
    <w:basedOn w:val="40"/>
    <w:next w:val="38"/>
    <w:qFormat/>
    <w:uiPriority w:val="0"/>
    <w:pPr>
      <w:numPr>
        <w:ilvl w:val="3"/>
      </w:numPr>
      <w:outlineLvl w:val="3"/>
    </w:pPr>
  </w:style>
  <w:style w:type="paragraph" w:customStyle="1" w:styleId="42">
    <w:name w:val="标准文件_一级条标题"/>
    <w:basedOn w:val="43"/>
    <w:next w:val="38"/>
    <w:qFormat/>
    <w:uiPriority w:val="0"/>
    <w:pPr>
      <w:numPr>
        <w:ilvl w:val="1"/>
      </w:numPr>
      <w:spacing w:beforeLines="50" w:afterLines="50"/>
      <w:outlineLvl w:val="1"/>
    </w:pPr>
  </w:style>
  <w:style w:type="paragraph" w:customStyle="1" w:styleId="43">
    <w:name w:val="标准文件_章标题"/>
    <w:next w:val="38"/>
    <w:qFormat/>
    <w:uiPriority w:val="0"/>
    <w:pPr>
      <w:numPr>
        <w:ilvl w:val="0"/>
        <w:numId w:val="6"/>
      </w:numPr>
      <w:spacing w:beforeLines="100" w:afterLines="100"/>
      <w:jc w:val="both"/>
      <w:outlineLvl w:val="0"/>
    </w:pPr>
    <w:rPr>
      <w:rFonts w:ascii="黑体" w:hAnsi="Times New Roman" w:eastAsia="黑体" w:cstheme="minorBidi"/>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5</TotalTime>
  <ScaleCrop>false</ScaleCrop>
  <LinksUpToDate>false</LinksUpToDate>
  <CharactersWithSpaces>6318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冬雪</cp:lastModifiedBy>
  <cp:lastPrinted>2024-04-25T10:29:00Z</cp:lastPrinted>
  <dcterms:modified xsi:type="dcterms:W3CDTF">2025-04-24T06:14:22Z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58E2C60B6A4440A4911CC6E76CA0E142</vt:lpwstr>
  </property>
</Properties>
</file>